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D42" w:rsidRDefault="00774CBC">
      <w:r>
        <w:t>June 4</w:t>
      </w:r>
      <w:r w:rsidR="00455F87">
        <w:t>, 2015</w:t>
      </w:r>
    </w:p>
    <w:p w:rsidR="00C85D42" w:rsidRDefault="00C85D42"/>
    <w:p w:rsidR="00C85D42" w:rsidRDefault="00455F87">
      <w:r>
        <w:t xml:space="preserve">Dr. Stephen </w:t>
      </w:r>
      <w:proofErr w:type="spellStart"/>
      <w:r>
        <w:t>Ostroff</w:t>
      </w:r>
      <w:proofErr w:type="spellEnd"/>
    </w:p>
    <w:p w:rsidR="00C85D42" w:rsidRDefault="00455F87">
      <w:r>
        <w:t>Commissioner</w:t>
      </w:r>
    </w:p>
    <w:p w:rsidR="00C85D42" w:rsidRDefault="00455F87">
      <w:r>
        <w:t>U.S. Food and Drug Administration</w:t>
      </w:r>
    </w:p>
    <w:p w:rsidR="00C85D42" w:rsidRDefault="00C85D42"/>
    <w:p w:rsidR="00C85D42" w:rsidRDefault="00455F87">
      <w:r>
        <w:t>Re: Docket No. FDA-2014-N-0238</w:t>
      </w:r>
    </w:p>
    <w:p w:rsidR="00C85D42" w:rsidRDefault="00C85D42"/>
    <w:p w:rsidR="00C85D42" w:rsidRDefault="00455F87">
      <w:r>
        <w:t xml:space="preserve">Dear Commissioner </w:t>
      </w:r>
      <w:proofErr w:type="spellStart"/>
      <w:r>
        <w:t>Ostroff</w:t>
      </w:r>
      <w:proofErr w:type="spellEnd"/>
      <w:r>
        <w:t xml:space="preserve">, </w:t>
      </w:r>
    </w:p>
    <w:p w:rsidR="00C85D42" w:rsidRDefault="00C85D42"/>
    <w:p w:rsidR="00C85D42" w:rsidRDefault="00455F87">
      <w:r>
        <w:t xml:space="preserve">We are writing to urge the FDA to act on the recommendations of the Neurological Devices Panel of the Medical Devices Advisory Committee at a public meeting convened last year on April 24 that the harms of aversive conditioning devices used for contingent electric shock outweigh any potential benefits. </w:t>
      </w:r>
    </w:p>
    <w:p w:rsidR="00C85D42" w:rsidRDefault="00C85D42"/>
    <w:p w:rsidR="00C85D42" w:rsidRDefault="00455F87">
      <w:r>
        <w:t>According to 21 C.F.R. § 895.21, the FDA may ban a device upon finding that “the continued marketing of the device presents a substantial deception or an unreasonable and substantial risk of illness or injury.”</w:t>
      </w:r>
      <w:r>
        <w:rPr>
          <w:rStyle w:val="FootnoteAnchor"/>
        </w:rPr>
        <w:footnoteReference w:id="1"/>
      </w:r>
      <w:r>
        <w:t xml:space="preserve"> After hearing testimony from numerous individuals and organizations with significant expertise serving and advocating for people with the most significant disabilities, the FDA’s panel determined that aversive conditioning devices used for contingent electric shock present precisely such an unreasonable and substantial risk of injury.</w:t>
      </w:r>
    </w:p>
    <w:p w:rsidR="00C85D42" w:rsidRDefault="00C85D42"/>
    <w:p w:rsidR="00C85D42" w:rsidRDefault="00455F87">
      <w:r>
        <w:t>We note that the FDA has refrained from making any final determination as to the status of these devices since last year’s hearing. Over the past year, the only institution in the nation known to use contingent electric shock as “treatment,” the Judge Rotenberg Center, continues to use this harmful form of behavioral modification on dozens of children, youth, and adults with disabilities. We remain concerned for the welfare of those currently receiving contingent electric shock while a ruling remains pending.  These individuals spend every day wired to electric shock devices, unsure when they may next be shocked against their will.</w:t>
      </w:r>
    </w:p>
    <w:p w:rsidR="00C85D42" w:rsidRDefault="00C85D42"/>
    <w:p w:rsidR="00C85D42" w:rsidRDefault="00455F87">
      <w:r>
        <w:t xml:space="preserve">As many experts and disability rights advocates presented at last year’s hearing, contingent skin shock devices pose a substantial risk of skin burns and long-term trauma responses. This risk is unreasonable in light of the limited evidence supporting their efficacy for treating intensive behavioral support needs, their high potential for misuse and accidental activation, and the well-established body of evidence in favor of alternative options that do not rely on pain and fear. Moreover, the original pioneer of contingent electric shock as a behavioral modification method on autistic children, O. Ivar </w:t>
      </w:r>
      <w:proofErr w:type="spellStart"/>
      <w:r>
        <w:t>Lovaas</w:t>
      </w:r>
      <w:proofErr w:type="spellEnd"/>
      <w:r>
        <w:t>, has publicly repudiated use of the method over twenty years ago in 1993.</w:t>
      </w:r>
      <w:r>
        <w:rPr>
          <w:rStyle w:val="FootnoteAnchor"/>
        </w:rPr>
        <w:footnoteReference w:id="2"/>
      </w:r>
      <w:r>
        <w:t xml:space="preserve"> This practice is unjustifiable under any acceptable standards of treatment for people with disabilities today and there is no reason to allow it to continue.</w:t>
      </w:r>
    </w:p>
    <w:p w:rsidR="00C85D42" w:rsidRDefault="00C85D42"/>
    <w:p w:rsidR="00C85D42" w:rsidRDefault="00455F87">
      <w:r>
        <w:lastRenderedPageBreak/>
        <w:t xml:space="preserve">The FDA has an excellent opportunity to demonstrate a firm commitment to safe, humane, and evidence-based treatments for people with disabilities by banning the types of devices used for this appalling and thoroughly unsupported practice. While there is only one institution using contingent electric shock at present, we are concerned that any decision short of a total ban might allow for the future expansion of contingent electric shock to other institutions and programs, thus subjecting additional people with disabilities to an unnecessarily painful and dangerous “therapy.” </w:t>
      </w:r>
    </w:p>
    <w:p w:rsidR="00C85D42" w:rsidRDefault="00C85D42"/>
    <w:p w:rsidR="00C85D42" w:rsidRDefault="00455F87">
      <w:r>
        <w:t xml:space="preserve">We call for the FDA to issue a total ban on any aversive conditioning devices used for contingent electric shock, in order to protect the public’s right to safe, evidence-based treatment and the inherent human rights and dignity of people with disabilities. </w:t>
      </w:r>
    </w:p>
    <w:p w:rsidR="00C85D42" w:rsidRDefault="00C85D42">
      <w:pPr>
        <w:tabs>
          <w:tab w:val="left" w:pos="3696"/>
        </w:tabs>
      </w:pPr>
    </w:p>
    <w:p w:rsidR="00C85D42" w:rsidRDefault="00455F87">
      <w:pPr>
        <w:rPr>
          <w:b/>
        </w:rPr>
      </w:pPr>
      <w:r>
        <w:rPr>
          <w:b/>
        </w:rPr>
        <w:t>National Organizations</w:t>
      </w:r>
    </w:p>
    <w:p w:rsidR="00C85D42" w:rsidRDefault="00C85D42">
      <w:pPr>
        <w:rPr>
          <w:b/>
        </w:rPr>
      </w:pPr>
    </w:p>
    <w:p w:rsidR="00C85D42" w:rsidRDefault="00455F87">
      <w:r>
        <w:t>Access Living</w:t>
      </w:r>
    </w:p>
    <w:p w:rsidR="00C85D42" w:rsidRDefault="00455F87">
      <w:r>
        <w:t>ADAPT</w:t>
      </w:r>
    </w:p>
    <w:p w:rsidR="00C85D42" w:rsidRDefault="00455F87">
      <w:r>
        <w:t>Advocacy Institute</w:t>
      </w:r>
    </w:p>
    <w:p w:rsidR="00C85D42" w:rsidRDefault="00455F87">
      <w:r>
        <w:t>Access Living</w:t>
      </w:r>
    </w:p>
    <w:p w:rsidR="00C85D42" w:rsidRDefault="00455F87">
      <w:r>
        <w:t>The Arc of the United States</w:t>
      </w:r>
    </w:p>
    <w:p w:rsidR="00C85D42" w:rsidRDefault="00455F87">
      <w:r>
        <w:t xml:space="preserve">Association of University Centers on Disabilities </w:t>
      </w:r>
    </w:p>
    <w:p w:rsidR="00C85D42" w:rsidRDefault="00455F87">
      <w:r>
        <w:t xml:space="preserve">Association of Programs for Rural Independent Living </w:t>
      </w:r>
    </w:p>
    <w:p w:rsidR="00C85D42" w:rsidRDefault="00455F87">
      <w:proofErr w:type="spellStart"/>
      <w:r>
        <w:t>AutCom</w:t>
      </w:r>
      <w:proofErr w:type="spellEnd"/>
    </w:p>
    <w:p w:rsidR="00C85D42" w:rsidRDefault="00455F87">
      <w:r>
        <w:t>Autistic Self Advocacy Network</w:t>
      </w:r>
    </w:p>
    <w:p w:rsidR="00C85D42" w:rsidRDefault="00455F87">
      <w:r>
        <w:t>Autism Society of America</w:t>
      </w:r>
    </w:p>
    <w:p w:rsidR="00C85D42" w:rsidRDefault="00455F87">
      <w:r>
        <w:t>American Association of People with Disabilities</w:t>
      </w:r>
    </w:p>
    <w:p w:rsidR="00C85D42" w:rsidRDefault="00455F87">
      <w:r>
        <w:t xml:space="preserve">American Network of Community Options and </w:t>
      </w:r>
      <w:proofErr w:type="spellStart"/>
      <w:r>
        <w:t>ResourcesBazelon</w:t>
      </w:r>
      <w:proofErr w:type="spellEnd"/>
      <w:r>
        <w:t xml:space="preserve"> Center for Mental Health Law</w:t>
      </w:r>
    </w:p>
    <w:p w:rsidR="00C85D42" w:rsidRDefault="00455F87">
      <w:r>
        <w:t>Boston Center for Independent Living</w:t>
      </w:r>
    </w:p>
    <w:p w:rsidR="00C85D42" w:rsidRDefault="00455F87">
      <w:r>
        <w:t>Council of Parent Attorneys and Advocates, Inc.</w:t>
      </w:r>
    </w:p>
    <w:p w:rsidR="00C85D42" w:rsidRDefault="00455F87">
      <w:r>
        <w:t>Children and Adults with Attention Deficit Hyperactivity Disorder</w:t>
      </w:r>
    </w:p>
    <w:p w:rsidR="00C85D42" w:rsidRDefault="00455F87">
      <w:r>
        <w:t>Disability &amp; Pride</w:t>
      </w:r>
    </w:p>
    <w:p w:rsidR="00C85D42" w:rsidRDefault="00455F87">
      <w:r>
        <w:t>Disability Rights Center</w:t>
      </w:r>
    </w:p>
    <w:p w:rsidR="00C85D42" w:rsidRDefault="00455F87">
      <w:r>
        <w:t>Disability Rights Education and Defense Fund</w:t>
      </w:r>
    </w:p>
    <w:p w:rsidR="00C85D42" w:rsidRDefault="00455F87">
      <w:r>
        <w:t>Disability Rights International</w:t>
      </w:r>
    </w:p>
    <w:p w:rsidR="00C85D42" w:rsidRDefault="00455F87">
      <w:r>
        <w:t>Higher Education Consortium for Special Education and Teacher Education of the Council for Exceptional Children</w:t>
      </w:r>
    </w:p>
    <w:p w:rsidR="00C85D42" w:rsidRDefault="00455F87">
      <w:r>
        <w:t xml:space="preserve">Family Alliance to Stop Abuse and Neglect </w:t>
      </w:r>
    </w:p>
    <w:p w:rsidR="00C85D42" w:rsidRDefault="00455F87">
      <w:r>
        <w:t>Family Voices</w:t>
      </w:r>
    </w:p>
    <w:p w:rsidR="00122FCC" w:rsidRDefault="00122FCC">
      <w:r>
        <w:t>Lead On Network</w:t>
      </w:r>
    </w:p>
    <w:p w:rsidR="00C85D42" w:rsidRDefault="00455F87">
      <w:r>
        <w:t>Little People of America</w:t>
      </w:r>
    </w:p>
    <w:p w:rsidR="00C85D42" w:rsidRDefault="00455F87">
      <w:r>
        <w:t>Mental Health America</w:t>
      </w:r>
    </w:p>
    <w:p w:rsidR="00C85D42" w:rsidRDefault="00455F87">
      <w:r>
        <w:t xml:space="preserve">National Association of Councils on Developmental Disabilities </w:t>
      </w:r>
    </w:p>
    <w:p w:rsidR="00C85D42" w:rsidRDefault="00455F87">
      <w:r>
        <w:t>National Association of the Deaf</w:t>
      </w:r>
    </w:p>
    <w:p w:rsidR="00C85D42" w:rsidRDefault="00455F87">
      <w:r>
        <w:t>National Association of State Directors of Special Education</w:t>
      </w:r>
    </w:p>
    <w:p w:rsidR="00C85D42" w:rsidRDefault="00455F87">
      <w:r>
        <w:t>National Autism Association</w:t>
      </w:r>
    </w:p>
    <w:p w:rsidR="00C85D42" w:rsidRDefault="00455F87">
      <w:r>
        <w:t>National Council on Independent Living</w:t>
      </w:r>
    </w:p>
    <w:p w:rsidR="00C85D42" w:rsidRDefault="00455F87">
      <w:r>
        <w:t>National Disability Rights Network</w:t>
      </w:r>
    </w:p>
    <w:p w:rsidR="00C85D42" w:rsidRDefault="00455F87">
      <w:r>
        <w:lastRenderedPageBreak/>
        <w:t xml:space="preserve">National Down </w:t>
      </w:r>
      <w:proofErr w:type="gramStart"/>
      <w:r>
        <w:t>Syndrome</w:t>
      </w:r>
      <w:proofErr w:type="gramEnd"/>
      <w:r>
        <w:t xml:space="preserve"> Congress</w:t>
      </w:r>
    </w:p>
    <w:p w:rsidR="00C85D42" w:rsidRDefault="00455F87">
      <w:r>
        <w:t xml:space="preserve">National Down </w:t>
      </w:r>
      <w:proofErr w:type="gramStart"/>
      <w:r>
        <w:t>Syndrome</w:t>
      </w:r>
      <w:proofErr w:type="gramEnd"/>
      <w:r>
        <w:t xml:space="preserve"> Society</w:t>
      </w:r>
    </w:p>
    <w:p w:rsidR="00C85D42" w:rsidRDefault="00455F87">
      <w:r>
        <w:t xml:space="preserve">National Federation of Families for Children's Mental Health </w:t>
      </w:r>
    </w:p>
    <w:p w:rsidR="00C85D42" w:rsidRDefault="00455F87">
      <w:r>
        <w:t>National Organization of Nurses with Disabilities</w:t>
      </w:r>
    </w:p>
    <w:p w:rsidR="00C85D42" w:rsidRDefault="00455F87">
      <w:r>
        <w:t>Not Dead Yet</w:t>
      </w:r>
    </w:p>
    <w:p w:rsidR="00C85D42" w:rsidRDefault="00455F87">
      <w:r>
        <w:t>Parent to Parent USA</w:t>
      </w:r>
    </w:p>
    <w:p w:rsidR="00C85D42" w:rsidRDefault="00455F87">
      <w:r>
        <w:t>Respect ABILITY Law Center</w:t>
      </w:r>
    </w:p>
    <w:p w:rsidR="00C85D42" w:rsidRDefault="00455F87">
      <w:r>
        <w:t>TASH</w:t>
      </w:r>
    </w:p>
    <w:p w:rsidR="00C85D42" w:rsidRDefault="00455F87">
      <w:r>
        <w:t>United Spinal Association</w:t>
      </w:r>
    </w:p>
    <w:p w:rsidR="00C85D42" w:rsidRDefault="00C85D42"/>
    <w:p w:rsidR="00C85D42" w:rsidRDefault="00455F87">
      <w:pPr>
        <w:rPr>
          <w:b/>
        </w:rPr>
      </w:pPr>
      <w:r>
        <w:rPr>
          <w:b/>
        </w:rPr>
        <w:t>State and Local Organizations</w:t>
      </w:r>
    </w:p>
    <w:p w:rsidR="00C85D42" w:rsidRDefault="00C85D42">
      <w:pPr>
        <w:rPr>
          <w:b/>
        </w:rPr>
      </w:pPr>
    </w:p>
    <w:p w:rsidR="00C85D42" w:rsidRDefault="00455F87">
      <w:r>
        <w:t>ADAPT Montana</w:t>
      </w:r>
    </w:p>
    <w:p w:rsidR="000C5FAF" w:rsidRDefault="000C5FAF">
      <w:r>
        <w:t>ADAPT New York</w:t>
      </w:r>
    </w:p>
    <w:p w:rsidR="00C85D42" w:rsidRDefault="00455F87">
      <w:r>
        <w:t>AIM Independent Living Center (Corning, NY)</w:t>
      </w:r>
    </w:p>
    <w:p w:rsidR="00C85D42" w:rsidRDefault="00455F87">
      <w:r>
        <w:t>Access to Independence of Cortland County, Inc.</w:t>
      </w:r>
    </w:p>
    <w:p w:rsidR="00C85D42" w:rsidRDefault="00455F87">
      <w:r>
        <w:t>Autistic Self Advocacy Network of Greater Boston</w:t>
      </w:r>
    </w:p>
    <w:p w:rsidR="00C85D42" w:rsidRDefault="00455F87">
      <w:r>
        <w:t xml:space="preserve">The Arc of Illinois </w:t>
      </w:r>
    </w:p>
    <w:p w:rsidR="00C85D42" w:rsidRDefault="00455F87">
      <w:r>
        <w:t>Boston Center for Independent Living</w:t>
      </w:r>
    </w:p>
    <w:p w:rsidR="00C85D42" w:rsidRDefault="00455F87">
      <w:r>
        <w:t>Center for Disability Rights (New York)</w:t>
      </w:r>
    </w:p>
    <w:p w:rsidR="00C85D42" w:rsidRDefault="00455F87">
      <w:r>
        <w:t>Directions in Independent Living (Olean, NY</w:t>
      </w:r>
      <w:proofErr w:type="gramStart"/>
      <w:r>
        <w:t>)</w:t>
      </w:r>
      <w:proofErr w:type="gramEnd"/>
      <w:r>
        <w:br/>
        <w:t>Disability Law Center of Massachusetts</w:t>
      </w:r>
    </w:p>
    <w:p w:rsidR="00C85D42" w:rsidRDefault="00455F87">
      <w:r>
        <w:t>Disability Rights Wisconsin</w:t>
      </w:r>
    </w:p>
    <w:p w:rsidR="00C85D42" w:rsidRDefault="00455F87">
      <w:r>
        <w:t>Easter Seals Massachusetts</w:t>
      </w:r>
    </w:p>
    <w:p w:rsidR="00C85D42" w:rsidRDefault="00455F87">
      <w:r>
        <w:t>Family Voices of New Jersey</w:t>
      </w:r>
    </w:p>
    <w:p w:rsidR="00C85D42" w:rsidRDefault="00455F87">
      <w:r>
        <w:t>Family Voices of Illinois</w:t>
      </w:r>
    </w:p>
    <w:p w:rsidR="00C85D42" w:rsidRDefault="00455F87">
      <w:r>
        <w:t>Family Voices of Tennessee</w:t>
      </w:r>
    </w:p>
    <w:p w:rsidR="00C85D42" w:rsidRDefault="00455F87">
      <w:proofErr w:type="spellStart"/>
      <w:r>
        <w:t>INCLUDEnyc</w:t>
      </w:r>
      <w:proofErr w:type="spellEnd"/>
      <w:r>
        <w:t xml:space="preserve"> </w:t>
      </w:r>
    </w:p>
    <w:p w:rsidR="00C85D42" w:rsidRDefault="00455F87">
      <w:r>
        <w:t xml:space="preserve">Not Dead </w:t>
      </w:r>
      <w:proofErr w:type="gramStart"/>
      <w:r>
        <w:t>Yet</w:t>
      </w:r>
      <w:proofErr w:type="gramEnd"/>
      <w:r>
        <w:t xml:space="preserve"> Montana</w:t>
      </w:r>
    </w:p>
    <w:p w:rsidR="00C85D42" w:rsidRDefault="00455F87">
      <w:r>
        <w:t>PEAK Parent Center</w:t>
      </w:r>
    </w:p>
    <w:p w:rsidR="00C85D42" w:rsidRDefault="00455F87">
      <w:r>
        <w:t>Regional Center for Independent Living (Rochester, NY)</w:t>
      </w:r>
    </w:p>
    <w:p w:rsidR="00C85D42" w:rsidRDefault="00455F87">
      <w:r>
        <w:t>Second Thoughts Massachusetts</w:t>
      </w:r>
    </w:p>
    <w:p w:rsidR="00C85D42" w:rsidRDefault="00455F87">
      <w:proofErr w:type="spellStart"/>
      <w:r>
        <w:t>Self Advocacy</w:t>
      </w:r>
      <w:proofErr w:type="spellEnd"/>
      <w:r>
        <w:t xml:space="preserve"> Association of New York State</w:t>
      </w:r>
    </w:p>
    <w:p w:rsidR="00C85D42" w:rsidRDefault="00455F87">
      <w:r>
        <w:t>Sou</w:t>
      </w:r>
      <w:r w:rsidR="003B6CCD">
        <w:t>thern Tier Independence Center (</w:t>
      </w:r>
      <w:r>
        <w:t>Binghamton, NY</w:t>
      </w:r>
      <w:r w:rsidR="003B6CCD">
        <w:t>)</w:t>
      </w:r>
    </w:p>
    <w:p w:rsidR="00C85D42" w:rsidRDefault="00455F87">
      <w:r>
        <w:t>Statewide Parent Advocacy Network (New Jersey)</w:t>
      </w:r>
    </w:p>
    <w:p w:rsidR="0028785A" w:rsidRDefault="0028785A">
      <w:r w:rsidRPr="0028785A">
        <w:t>Support for Families of Children with Disabilities (San Francisco, CA)</w:t>
      </w:r>
      <w:bookmarkStart w:id="0" w:name="_GoBack"/>
      <w:bookmarkEnd w:id="0"/>
    </w:p>
    <w:p w:rsidR="00C85D42" w:rsidRDefault="00455F87">
      <w:r>
        <w:t>TASH New England</w:t>
      </w:r>
    </w:p>
    <w:p w:rsidR="00C85D42" w:rsidRDefault="00455F87">
      <w:r>
        <w:t>Tennessee Disability Coalition</w:t>
      </w:r>
    </w:p>
    <w:p w:rsidR="007C4D65" w:rsidRDefault="007C4D65">
      <w:r>
        <w:t>The Vermont Family Network</w:t>
      </w:r>
    </w:p>
    <w:p w:rsidR="00C85D42" w:rsidRDefault="00455F87">
      <w:r>
        <w:t>Washington Metro Disabled Students Collective</w:t>
      </w:r>
    </w:p>
    <w:p w:rsidR="00C85D42" w:rsidRDefault="00455F87">
      <w:r>
        <w:t>Westchester Independent Living Center</w:t>
      </w:r>
    </w:p>
    <w:p w:rsidR="00C85D42" w:rsidRDefault="00C85D42">
      <w:pPr>
        <w:rPr>
          <w:b/>
        </w:rPr>
      </w:pPr>
    </w:p>
    <w:p w:rsidR="00C85D42" w:rsidRDefault="00C85D42"/>
    <w:p w:rsidR="00C85D42" w:rsidRDefault="00455F87">
      <w:r>
        <w:t>Cc: Sharon Lewis, Maria Town</w:t>
      </w:r>
    </w:p>
    <w:p w:rsidR="00C85D42" w:rsidRDefault="00C85D42"/>
    <w:p w:rsidR="00C85D42" w:rsidRDefault="00C85D42"/>
    <w:sectPr w:rsidR="00C85D42" w:rsidSect="007D2F52">
      <w:footerReference w:type="default" r:id="rId7"/>
      <w:pgSz w:w="12240" w:h="15840"/>
      <w:pgMar w:top="1440" w:right="1440" w:bottom="1440" w:left="1440" w:header="0" w:footer="0"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BAB" w:rsidRDefault="00F27BAB">
      <w:r>
        <w:separator/>
      </w:r>
    </w:p>
  </w:endnote>
  <w:endnote w:type="continuationSeparator" w:id="0">
    <w:p w:rsidR="00F27BAB" w:rsidRDefault="00F2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752397"/>
      <w:docPartObj>
        <w:docPartGallery w:val="Page Numbers (Bottom of Page)"/>
        <w:docPartUnique/>
      </w:docPartObj>
    </w:sdtPr>
    <w:sdtEndPr>
      <w:rPr>
        <w:noProof/>
      </w:rPr>
    </w:sdtEndPr>
    <w:sdtContent>
      <w:p w:rsidR="007D2F52" w:rsidRDefault="007D2F52">
        <w:pPr>
          <w:pStyle w:val="Footer"/>
          <w:jc w:val="center"/>
        </w:pPr>
        <w:r>
          <w:fldChar w:fldCharType="begin"/>
        </w:r>
        <w:r>
          <w:instrText xml:space="preserve"> PAGE   \* MERGEFORMAT </w:instrText>
        </w:r>
        <w:r>
          <w:fldChar w:fldCharType="separate"/>
        </w:r>
        <w:r w:rsidR="003B6CCD">
          <w:rPr>
            <w:noProof/>
          </w:rPr>
          <w:t>3</w:t>
        </w:r>
        <w:r>
          <w:rPr>
            <w:noProof/>
          </w:rPr>
          <w:fldChar w:fldCharType="end"/>
        </w:r>
      </w:p>
    </w:sdtContent>
  </w:sdt>
  <w:p w:rsidR="007D2F52" w:rsidRDefault="007D2F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BAB" w:rsidRDefault="00F27BAB">
      <w:r>
        <w:separator/>
      </w:r>
    </w:p>
  </w:footnote>
  <w:footnote w:type="continuationSeparator" w:id="0">
    <w:p w:rsidR="00F27BAB" w:rsidRDefault="00F27BAB">
      <w:r>
        <w:continuationSeparator/>
      </w:r>
    </w:p>
  </w:footnote>
  <w:footnote w:id="1">
    <w:p w:rsidR="00C85D42" w:rsidRDefault="00455F87">
      <w:pPr>
        <w:pStyle w:val="Footnote"/>
      </w:pPr>
      <w:r>
        <w:rPr>
          <w:rStyle w:val="FootnoteReference"/>
          <w:sz w:val="20"/>
          <w:szCs w:val="20"/>
        </w:rPr>
        <w:footnoteRef/>
      </w:r>
      <w:r>
        <w:rPr>
          <w:rStyle w:val="FootnoteReference"/>
          <w:sz w:val="20"/>
          <w:szCs w:val="20"/>
        </w:rPr>
        <w:tab/>
      </w:r>
      <w:r>
        <w:rPr>
          <w:sz w:val="20"/>
          <w:szCs w:val="20"/>
        </w:rPr>
        <w:t xml:space="preserve"> 21 C.F.R. § 895.21(a) (2011). </w:t>
      </w:r>
    </w:p>
  </w:footnote>
  <w:footnote w:id="2">
    <w:p w:rsidR="00C85D42" w:rsidRDefault="00455F87">
      <w:pPr>
        <w:pStyle w:val="Footnote"/>
      </w:pPr>
      <w:r>
        <w:rPr>
          <w:rStyle w:val="FootnoteReference"/>
        </w:rPr>
        <w:footnoteRef/>
      </w:r>
      <w:r>
        <w:rPr>
          <w:rStyle w:val="FootnoteReference"/>
        </w:rPr>
        <w:tab/>
      </w:r>
      <w:r>
        <w:t xml:space="preserve"> Jennifer </w:t>
      </w:r>
      <w:proofErr w:type="spellStart"/>
      <w:r>
        <w:t>Gonnerman</w:t>
      </w:r>
      <w:proofErr w:type="spellEnd"/>
      <w:r>
        <w:t xml:space="preserve">, School of Shock, Mother Jones, Aug. 20, 2007, </w:t>
      </w:r>
      <w:r>
        <w:rPr>
          <w:i/>
          <w:iCs/>
        </w:rPr>
        <w:t>available at</w:t>
      </w:r>
      <w:r>
        <w:t xml:space="preserve"> </w:t>
      </w:r>
      <w:hyperlink r:id="rId1">
        <w:r>
          <w:rPr>
            <w:rStyle w:val="InternetLink"/>
          </w:rPr>
          <w:t>http://www.motherjones.com/politics/2007/08/school-shock</w:t>
        </w:r>
      </w:hyperlink>
      <w:r>
        <w:t xml:space="preserve">; Dan Moser &amp; Alan Grant, </w:t>
      </w:r>
      <w:r>
        <w:rPr>
          <w:i/>
          <w:iCs/>
        </w:rPr>
        <w:t>Screams, Slaps, and Love: A Surprising, Shocking Treatment Helps Far-Gone Mental Cripples</w:t>
      </w:r>
      <w:r>
        <w:t xml:space="preserve">, in </w:t>
      </w:r>
      <w:r>
        <w:rPr>
          <w:smallCaps/>
        </w:rPr>
        <w:t>Life Magazine</w:t>
      </w:r>
      <w:r>
        <w:t xml:space="preserve"> 90-96 (May 7, 1965).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42"/>
    <w:rsid w:val="000C5FAF"/>
    <w:rsid w:val="00122FCC"/>
    <w:rsid w:val="0028785A"/>
    <w:rsid w:val="003B6CCD"/>
    <w:rsid w:val="00455F87"/>
    <w:rsid w:val="0061396E"/>
    <w:rsid w:val="00774CBC"/>
    <w:rsid w:val="007C4D65"/>
    <w:rsid w:val="007D2F52"/>
    <w:rsid w:val="00C85D42"/>
    <w:rsid w:val="00E35098"/>
    <w:rsid w:val="00F27BAB"/>
  </w:rsids>
  <m:mathPr>
    <m:mathFont m:val="Cambria Math"/>
    <m:brkBin m:val="before"/>
    <m:brkBinSub m:val="--"/>
    <m:smallFrac m:val="0"/>
    <m:dispDef/>
    <m:lMargin m:val="0"/>
    <m:rMargin m:val="0"/>
    <m:defJc m:val="centerGroup"/>
    <m:wrapIndent m:val="1440"/>
    <m:intLim m:val="subSup"/>
    <m:naryLim m:val="undOvr"/>
  </m:mathPr>
  <w:themeFontLang w:val="en-US"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8F9BE9-41E8-44A3-A45B-F7938FD6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Bidi" w:eastAsiaTheme="minorHAnsi" w:hAnsiTheme="majorBidi" w:cstheme="majorBidi"/>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xQuoteChar">
    <w:name w:val="Box Quote Char"/>
    <w:basedOn w:val="DefaultParagraphFont"/>
    <w:link w:val="BoxQuote"/>
    <w:qFormat/>
    <w:rsid w:val="00B909D0"/>
    <w:rPr>
      <w:rFonts w:ascii="Garamond" w:eastAsia="Times New Roman" w:hAnsi="Garamond" w:cs="Times New Roman"/>
      <w:color w:val="000000"/>
      <w:sz w:val="26"/>
      <w:szCs w:val="26"/>
      <w:shd w:val="clear" w:color="auto" w:fill="DEEAF6"/>
    </w:rPr>
  </w:style>
  <w:style w:type="character" w:customStyle="1" w:styleId="FootnoteTextChar">
    <w:name w:val="Footnote Text Char"/>
    <w:basedOn w:val="DefaultParagraphFont"/>
    <w:link w:val="FootnoteText"/>
    <w:uiPriority w:val="99"/>
    <w:semiHidden/>
    <w:qFormat/>
    <w:rsid w:val="001C7A4E"/>
    <w:rPr>
      <w:sz w:val="20"/>
      <w:szCs w:val="20"/>
    </w:rPr>
  </w:style>
  <w:style w:type="character" w:styleId="FootnoteReference">
    <w:name w:val="footnote reference"/>
    <w:basedOn w:val="DefaultParagraphFont"/>
    <w:uiPriority w:val="99"/>
    <w:semiHidden/>
    <w:unhideWhenUsed/>
    <w:qFormat/>
    <w:rsid w:val="001C7A4E"/>
    <w:rPr>
      <w:vertAlign w:val="superscript"/>
    </w:rPr>
  </w:style>
  <w:style w:type="character" w:customStyle="1" w:styleId="InternetLink">
    <w:name w:val="Internet Link"/>
    <w:basedOn w:val="DefaultParagraphFont"/>
    <w:uiPriority w:val="99"/>
    <w:unhideWhenUsed/>
    <w:rsid w:val="00350110"/>
    <w:rPr>
      <w:color w:val="0563C1" w:themeColor="hyperlink"/>
      <w:u w:val="single"/>
    </w:rPr>
  </w:style>
  <w:style w:type="character" w:styleId="CommentReference">
    <w:name w:val="annotation reference"/>
    <w:basedOn w:val="DefaultParagraphFont"/>
    <w:uiPriority w:val="99"/>
    <w:semiHidden/>
    <w:unhideWhenUsed/>
    <w:qFormat/>
    <w:rsid w:val="00696D66"/>
    <w:rPr>
      <w:sz w:val="16"/>
      <w:szCs w:val="16"/>
    </w:rPr>
  </w:style>
  <w:style w:type="character" w:customStyle="1" w:styleId="CommentTextChar">
    <w:name w:val="Comment Text Char"/>
    <w:basedOn w:val="DefaultParagraphFont"/>
    <w:link w:val="CommentText"/>
    <w:uiPriority w:val="99"/>
    <w:semiHidden/>
    <w:qFormat/>
    <w:rsid w:val="00696D66"/>
    <w:rPr>
      <w:sz w:val="20"/>
      <w:szCs w:val="20"/>
    </w:rPr>
  </w:style>
  <w:style w:type="character" w:customStyle="1" w:styleId="CommentSubjectChar">
    <w:name w:val="Comment Subject Char"/>
    <w:basedOn w:val="CommentTextChar"/>
    <w:link w:val="CommentSubject"/>
    <w:uiPriority w:val="99"/>
    <w:semiHidden/>
    <w:qFormat/>
    <w:rsid w:val="00696D66"/>
    <w:rPr>
      <w:b/>
      <w:bCs/>
      <w:sz w:val="20"/>
      <w:szCs w:val="20"/>
    </w:rPr>
  </w:style>
  <w:style w:type="character" w:customStyle="1" w:styleId="BalloonTextChar">
    <w:name w:val="Balloon Text Char"/>
    <w:basedOn w:val="DefaultParagraphFont"/>
    <w:link w:val="BalloonText"/>
    <w:uiPriority w:val="99"/>
    <w:semiHidden/>
    <w:qFormat/>
    <w:rsid w:val="00696D66"/>
    <w:rPr>
      <w:rFonts w:ascii="Tahoma" w:hAnsi="Tahoma" w:cs="Tahoma"/>
      <w:sz w:val="16"/>
      <w:szCs w:val="16"/>
    </w:rPr>
  </w:style>
  <w:style w:type="character" w:customStyle="1" w:styleId="HeaderChar">
    <w:name w:val="Header Char"/>
    <w:basedOn w:val="DefaultParagraphFont"/>
    <w:link w:val="Header"/>
    <w:uiPriority w:val="99"/>
    <w:qFormat/>
    <w:rsid w:val="00695F74"/>
  </w:style>
  <w:style w:type="character" w:customStyle="1" w:styleId="FooterChar">
    <w:name w:val="Footer Char"/>
    <w:basedOn w:val="DefaultParagraphFont"/>
    <w:link w:val="Footer"/>
    <w:uiPriority w:val="99"/>
    <w:qFormat/>
    <w:rsid w:val="00695F74"/>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BoxQuote">
    <w:name w:val="Box Quote"/>
    <w:basedOn w:val="Normal"/>
    <w:link w:val="BoxQuoteChar"/>
    <w:qFormat/>
    <w:rsid w:val="00B909D0"/>
    <w:pPr>
      <w:pBdr>
        <w:top w:val="single" w:sz="4" w:space="1" w:color="00000A"/>
        <w:left w:val="single" w:sz="4" w:space="4" w:color="00000A"/>
        <w:bottom w:val="single" w:sz="4" w:space="1" w:color="00000A"/>
        <w:right w:val="single" w:sz="4" w:space="4" w:color="00000A"/>
      </w:pBdr>
      <w:shd w:val="clear" w:color="auto" w:fill="DEEAF6" w:themeFill="accent1" w:themeFillTint="33"/>
    </w:pPr>
    <w:rPr>
      <w:rFonts w:ascii="Garamond" w:eastAsia="Times New Roman" w:hAnsi="Garamond" w:cs="Times New Roman"/>
      <w:bCs/>
      <w:color w:val="000000"/>
      <w:sz w:val="26"/>
      <w:szCs w:val="26"/>
    </w:rPr>
  </w:style>
  <w:style w:type="paragraph" w:styleId="FootnoteText">
    <w:name w:val="footnote text"/>
    <w:basedOn w:val="Normal"/>
    <w:link w:val="FootnoteTextChar"/>
    <w:uiPriority w:val="99"/>
    <w:semiHidden/>
    <w:unhideWhenUsed/>
    <w:qFormat/>
    <w:rsid w:val="001C7A4E"/>
    <w:rPr>
      <w:sz w:val="20"/>
      <w:szCs w:val="20"/>
    </w:rPr>
  </w:style>
  <w:style w:type="paragraph" w:customStyle="1" w:styleId="Default">
    <w:name w:val="Default"/>
    <w:qFormat/>
    <w:rsid w:val="001C7A4E"/>
    <w:pPr>
      <w:suppressAutoHyphens/>
    </w:pPr>
    <w:rPr>
      <w:rFonts w:ascii="Times New Roman" w:eastAsia="Calibri" w:hAnsi="Times New Roman" w:cs="Times New Roman"/>
      <w:color w:val="000000"/>
      <w:sz w:val="24"/>
    </w:rPr>
  </w:style>
  <w:style w:type="paragraph" w:styleId="CommentText">
    <w:name w:val="annotation text"/>
    <w:basedOn w:val="Normal"/>
    <w:link w:val="CommentTextChar"/>
    <w:uiPriority w:val="99"/>
    <w:semiHidden/>
    <w:unhideWhenUsed/>
    <w:qFormat/>
    <w:rsid w:val="00696D66"/>
    <w:rPr>
      <w:sz w:val="20"/>
      <w:szCs w:val="20"/>
    </w:rPr>
  </w:style>
  <w:style w:type="paragraph" w:styleId="CommentSubject">
    <w:name w:val="annotation subject"/>
    <w:basedOn w:val="CommentText"/>
    <w:link w:val="CommentSubjectChar"/>
    <w:uiPriority w:val="99"/>
    <w:semiHidden/>
    <w:unhideWhenUsed/>
    <w:qFormat/>
    <w:rsid w:val="00696D66"/>
    <w:rPr>
      <w:b/>
      <w:bCs/>
    </w:rPr>
  </w:style>
  <w:style w:type="paragraph" w:styleId="BalloonText">
    <w:name w:val="Balloon Text"/>
    <w:basedOn w:val="Normal"/>
    <w:link w:val="BalloonTextChar"/>
    <w:uiPriority w:val="99"/>
    <w:semiHidden/>
    <w:unhideWhenUsed/>
    <w:qFormat/>
    <w:rsid w:val="00696D66"/>
    <w:rPr>
      <w:rFonts w:ascii="Tahoma" w:hAnsi="Tahoma" w:cs="Tahoma"/>
      <w:sz w:val="16"/>
      <w:szCs w:val="16"/>
    </w:rPr>
  </w:style>
  <w:style w:type="paragraph" w:styleId="Header">
    <w:name w:val="header"/>
    <w:basedOn w:val="Normal"/>
    <w:link w:val="HeaderChar"/>
    <w:uiPriority w:val="99"/>
    <w:unhideWhenUsed/>
    <w:rsid w:val="00695F74"/>
    <w:pPr>
      <w:tabs>
        <w:tab w:val="center" w:pos="4680"/>
        <w:tab w:val="right" w:pos="9360"/>
      </w:tabs>
    </w:pPr>
  </w:style>
  <w:style w:type="paragraph" w:styleId="Footer">
    <w:name w:val="footer"/>
    <w:basedOn w:val="Normal"/>
    <w:link w:val="FooterChar"/>
    <w:uiPriority w:val="99"/>
    <w:unhideWhenUsed/>
    <w:rsid w:val="00695F74"/>
    <w:pPr>
      <w:tabs>
        <w:tab w:val="center" w:pos="4680"/>
        <w:tab w:val="right" w:pos="9360"/>
      </w:tabs>
    </w:pPr>
  </w:style>
  <w:style w:type="paragraph" w:customStyle="1" w:styleId="Footnote">
    <w:name w:val="Footnot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062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otherjones.com/politics/2007/08/school-sh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5532C-5421-4B8B-B4F0-B5B1F5568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Brown</dc:creator>
  <cp:lastModifiedBy>Yawnty</cp:lastModifiedBy>
  <cp:revision>6</cp:revision>
  <cp:lastPrinted>2015-06-04T18:14:00Z</cp:lastPrinted>
  <dcterms:created xsi:type="dcterms:W3CDTF">2015-06-04T15:10:00Z</dcterms:created>
  <dcterms:modified xsi:type="dcterms:W3CDTF">2015-06-04T18:22:00Z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