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line="276" w:lineRule="auto" w:before="54"/>
        <w:ind w:left="100" w:right="121" w:firstLine="0"/>
        <w:jc w:val="left"/>
      </w:pPr>
      <w:r>
        <w:rPr/>
        <w:t>On behalf of the Autistic Self Advocacy Network, I write to comment on the Medicaid and</w:t>
      </w:r>
      <w:r>
        <w:rPr>
          <w:spacing w:val="-20"/>
        </w:rPr>
        <w:t> </w:t>
      </w:r>
      <w:r>
        <w:rPr/>
        <w:t>CHIP</w:t>
      </w:r>
      <w:r>
        <w:rPr>
          <w:w w:val="100"/>
        </w:rPr>
        <w:t> </w:t>
      </w:r>
      <w:r>
        <w:rPr/>
        <w:t>Managed Care Proposed Rule CMS-2390-P. The Autistic Self Advocacy Network is the leading</w:t>
      </w:r>
      <w:r>
        <w:rPr>
          <w:spacing w:val="-27"/>
        </w:rPr>
        <w:t> </w:t>
      </w:r>
      <w:r>
        <w:rPr/>
        <w:t>national</w:t>
      </w:r>
      <w:r>
        <w:rPr>
          <w:w w:val="100"/>
        </w:rPr>
        <w:t> </w:t>
      </w:r>
      <w:r>
        <w:rPr/>
        <w:t>advocacy organization run by and for autistic adults, working to increase the representation of</w:t>
      </w:r>
      <w:r>
        <w:rPr>
          <w:spacing w:val="-29"/>
        </w:rPr>
        <w:t> </w:t>
      </w:r>
      <w:r>
        <w:rPr/>
        <w:t>autistic</w:t>
      </w:r>
      <w:r>
        <w:rPr>
          <w:w w:val="100"/>
        </w:rPr>
        <w:t> </w:t>
      </w:r>
      <w:r>
        <w:rPr/>
        <w:t>people and other people with disabilities in policymaking and throughout</w:t>
      </w:r>
      <w:r>
        <w:rPr>
          <w:spacing w:val="-22"/>
        </w:rPr>
        <w:t> </w:t>
      </w:r>
      <w:r>
        <w:rPr/>
        <w:t>society.</w:t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17"/>
          <w:szCs w:val="17"/>
        </w:rPr>
      </w:pPr>
    </w:p>
    <w:p>
      <w:pPr>
        <w:pStyle w:val="BodyText"/>
        <w:spacing w:line="276" w:lineRule="auto"/>
        <w:ind w:left="100" w:right="121" w:firstLine="0"/>
        <w:jc w:val="left"/>
      </w:pPr>
      <w:r>
        <w:rPr/>
        <w:t>ASAN applauds CMS for the inclusion of a number of key consumer protections within the</w:t>
      </w:r>
      <w:r>
        <w:rPr>
          <w:spacing w:val="-23"/>
        </w:rPr>
        <w:t> </w:t>
      </w:r>
      <w:r>
        <w:rPr/>
        <w:t>proposed</w:t>
      </w:r>
      <w:r>
        <w:rPr>
          <w:w w:val="100"/>
        </w:rPr>
        <w:t> </w:t>
      </w:r>
      <w:r>
        <w:rPr/>
        <w:t>regulation. Most notably, we were pleased to note the following provisions within the</w:t>
      </w:r>
      <w:r>
        <w:rPr>
          <w:spacing w:val="-31"/>
        </w:rPr>
        <w:t> </w:t>
      </w:r>
      <w:r>
        <w:rPr/>
        <w:t>rule:</w:t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17"/>
          <w:szCs w:val="17"/>
        </w:rPr>
      </w:pPr>
    </w:p>
    <w:p>
      <w:pPr>
        <w:pStyle w:val="ListParagraph"/>
        <w:numPr>
          <w:ilvl w:val="0"/>
          <w:numId w:val="1"/>
        </w:numPr>
        <w:tabs>
          <w:tab w:pos="821" w:val="left" w:leader="none"/>
        </w:tabs>
        <w:spacing w:line="273" w:lineRule="auto" w:before="0" w:after="0"/>
        <w:ind w:left="820" w:right="121" w:hanging="36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 w:cs="Times New Roman" w:eastAsia="Times New Roman"/>
          <w:sz w:val="22"/>
          <w:szCs w:val="22"/>
        </w:rPr>
        <w:t>The modification of the definition of medical necessity to include </w:t>
      </w:r>
      <w:r>
        <w:rPr>
          <w:rFonts w:ascii="Times New Roman" w:hAnsi="Times New Roman" w:cs="Times New Roman" w:eastAsia="Times New Roman"/>
          <w:sz w:val="22"/>
          <w:szCs w:val="22"/>
        </w:rPr>
        <w:t>“</w:t>
      </w:r>
      <w:r>
        <w:rPr>
          <w:rFonts w:ascii="Times New Roman" w:hAnsi="Times New Roman" w:cs="Times New Roman" w:eastAsia="Times New Roman"/>
          <w:sz w:val="22"/>
          <w:szCs w:val="22"/>
        </w:rPr>
        <w:t>the opportunity for an</w:t>
      </w:r>
      <w:r>
        <w:rPr>
          <w:rFonts w:ascii="Times New Roman" w:hAnsi="Times New Roman" w:cs="Times New Roman" w:eastAsia="Times New Roman"/>
          <w:spacing w:val="-33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z w:val="22"/>
          <w:szCs w:val="22"/>
        </w:rPr>
        <w:t>enrollee</w:t>
      </w:r>
      <w:r>
        <w:rPr>
          <w:rFonts w:ascii="Times New Roman" w:hAnsi="Times New Roman" w:cs="Times New Roman" w:eastAsia="Times New Roman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z w:val="22"/>
          <w:szCs w:val="22"/>
        </w:rPr>
        <w:t>receiving long-term services and supports to have access to the benefits of community</w:t>
      </w:r>
      <w:r>
        <w:rPr>
          <w:rFonts w:ascii="Times New Roman" w:hAnsi="Times New Roman" w:cs="Times New Roman" w:eastAsia="Times New Roman"/>
          <w:spacing w:val="-27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z w:val="22"/>
          <w:szCs w:val="22"/>
        </w:rPr>
        <w:t>living,</w:t>
      </w:r>
      <w:r>
        <w:rPr>
          <w:rFonts w:ascii="Times New Roman" w:hAnsi="Times New Roman" w:cs="Times New Roman" w:eastAsia="Times New Roman"/>
          <w:sz w:val="22"/>
          <w:szCs w:val="22"/>
        </w:rPr>
        <w:t>”</w:t>
      </w:r>
    </w:p>
    <w:p>
      <w:pPr>
        <w:pStyle w:val="ListParagraph"/>
        <w:numPr>
          <w:ilvl w:val="0"/>
          <w:numId w:val="1"/>
        </w:numPr>
        <w:tabs>
          <w:tab w:pos="821" w:val="left" w:leader="none"/>
        </w:tabs>
        <w:spacing w:line="240" w:lineRule="auto" w:before="2" w:after="0"/>
        <w:ind w:left="820" w:right="121" w:hanging="36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sz w:val="22"/>
        </w:rPr>
        <w:t>The development of network adequacy standards for Long Term Services and</w:t>
      </w:r>
      <w:r>
        <w:rPr>
          <w:rFonts w:ascii="Times New Roman"/>
          <w:spacing w:val="-14"/>
          <w:sz w:val="22"/>
        </w:rPr>
        <w:t> </w:t>
      </w:r>
      <w:r>
        <w:rPr>
          <w:rFonts w:ascii="Times New Roman"/>
          <w:sz w:val="22"/>
        </w:rPr>
        <w:t>Supports;</w:t>
      </w:r>
    </w:p>
    <w:p>
      <w:pPr>
        <w:pStyle w:val="ListParagraph"/>
        <w:numPr>
          <w:ilvl w:val="0"/>
          <w:numId w:val="1"/>
        </w:numPr>
        <w:tabs>
          <w:tab w:pos="821" w:val="left" w:leader="none"/>
        </w:tabs>
        <w:spacing w:line="276" w:lineRule="auto" w:before="37" w:after="0"/>
        <w:ind w:left="820" w:right="456" w:hanging="36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 w:cs="Times New Roman" w:eastAsia="Times New Roman"/>
          <w:sz w:val="22"/>
          <w:szCs w:val="22"/>
        </w:rPr>
        <w:t>The requirement that a </w:t>
      </w:r>
      <w:r>
        <w:rPr>
          <w:rFonts w:ascii="Times New Roman" w:hAnsi="Times New Roman" w:cs="Times New Roman" w:eastAsia="Times New Roman"/>
          <w:sz w:val="22"/>
          <w:szCs w:val="22"/>
        </w:rPr>
        <w:t>“</w:t>
      </w:r>
      <w:r>
        <w:rPr>
          <w:rFonts w:ascii="Times New Roman" w:hAnsi="Times New Roman" w:cs="Times New Roman" w:eastAsia="Times New Roman"/>
          <w:sz w:val="22"/>
          <w:szCs w:val="22"/>
        </w:rPr>
        <w:t>State must ensure the views of beneficiaries, providers, and</w:t>
      </w:r>
      <w:r>
        <w:rPr>
          <w:rFonts w:ascii="Times New Roman" w:hAnsi="Times New Roman" w:cs="Times New Roman" w:eastAsia="Times New Roman"/>
          <w:spacing w:val="-18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z w:val="22"/>
          <w:szCs w:val="22"/>
        </w:rPr>
        <w:t>other</w:t>
      </w:r>
      <w:r>
        <w:rPr>
          <w:rFonts w:ascii="Times New Roman" w:hAnsi="Times New Roman" w:cs="Times New Roman" w:eastAsia="Times New Roman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z w:val="22"/>
          <w:szCs w:val="22"/>
        </w:rPr>
        <w:t>stakeholders are solicited and addressed during the design, implementation, and oversight of</w:t>
      </w:r>
      <w:r>
        <w:rPr>
          <w:rFonts w:ascii="Times New Roman" w:hAnsi="Times New Roman" w:cs="Times New Roman" w:eastAsia="Times New Roman"/>
          <w:spacing w:val="-26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z w:val="22"/>
          <w:szCs w:val="22"/>
        </w:rPr>
        <w:t>a</w:t>
      </w:r>
      <w:r>
        <w:rPr>
          <w:rFonts w:ascii="Times New Roman" w:hAnsi="Times New Roman" w:cs="Times New Roman" w:eastAsia="Times New Roman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z w:val="22"/>
          <w:szCs w:val="22"/>
        </w:rPr>
        <w:t>State’s managed LTSS</w:t>
      </w:r>
      <w:r>
        <w:rPr>
          <w:rFonts w:ascii="Times New Roman" w:hAnsi="Times New Roman" w:cs="Times New Roman" w:eastAsia="Times New Roman"/>
          <w:spacing w:val="-4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z w:val="22"/>
          <w:szCs w:val="22"/>
        </w:rPr>
        <w:t>program”</w:t>
      </w:r>
    </w:p>
    <w:p>
      <w:pPr>
        <w:pStyle w:val="ListParagraph"/>
        <w:numPr>
          <w:ilvl w:val="0"/>
          <w:numId w:val="1"/>
        </w:numPr>
        <w:tabs>
          <w:tab w:pos="821" w:val="left" w:leader="none"/>
        </w:tabs>
        <w:spacing w:line="276" w:lineRule="auto" w:before="0" w:after="0"/>
        <w:ind w:left="820" w:right="98" w:hanging="36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sz w:val="22"/>
        </w:rPr>
        <w:t>The requirement that a state must develop and maintain a beneficiary support system that</w:t>
      </w:r>
      <w:r>
        <w:rPr>
          <w:rFonts w:ascii="Times New Roman"/>
          <w:spacing w:val="-25"/>
          <w:sz w:val="22"/>
        </w:rPr>
        <w:t> </w:t>
      </w:r>
      <w:r>
        <w:rPr>
          <w:rFonts w:ascii="Times New Roman"/>
          <w:sz w:val="22"/>
        </w:rPr>
        <w:t>includes</w:t>
      </w:r>
      <w:r>
        <w:rPr>
          <w:rFonts w:ascii="Times New Roman"/>
          <w:w w:val="100"/>
          <w:sz w:val="22"/>
        </w:rPr>
        <w:t> </w:t>
      </w:r>
      <w:r>
        <w:rPr>
          <w:rFonts w:ascii="Times New Roman"/>
          <w:sz w:val="22"/>
        </w:rPr>
        <w:t>choice counseling, training for network providers, assistance for enrollees in</w:t>
      </w:r>
      <w:r>
        <w:rPr>
          <w:rFonts w:ascii="Times New Roman"/>
          <w:spacing w:val="-18"/>
          <w:sz w:val="22"/>
        </w:rPr>
        <w:t> </w:t>
      </w:r>
      <w:r>
        <w:rPr>
          <w:rFonts w:ascii="Times New Roman"/>
          <w:sz w:val="22"/>
        </w:rPr>
        <w:t>understanding</w:t>
      </w:r>
      <w:r>
        <w:rPr>
          <w:rFonts w:ascii="Times New Roman"/>
          <w:w w:val="100"/>
          <w:sz w:val="22"/>
        </w:rPr>
        <w:t> </w:t>
      </w:r>
      <w:r>
        <w:rPr>
          <w:rFonts w:ascii="Times New Roman"/>
          <w:sz w:val="22"/>
        </w:rPr>
        <w:t>managed care and assistance for enrollees who use or desire to use LTSS, including</w:t>
      </w:r>
      <w:r>
        <w:rPr>
          <w:rFonts w:ascii="Times New Roman"/>
          <w:spacing w:val="-19"/>
          <w:sz w:val="22"/>
        </w:rPr>
        <w:t> </w:t>
      </w:r>
      <w:r>
        <w:rPr>
          <w:rFonts w:ascii="Times New Roman"/>
          <w:sz w:val="22"/>
        </w:rPr>
        <w:t>assistance</w:t>
      </w:r>
      <w:r>
        <w:rPr>
          <w:rFonts w:ascii="Times New Roman"/>
          <w:w w:val="100"/>
          <w:sz w:val="22"/>
        </w:rPr>
        <w:t> </w:t>
      </w:r>
      <w:r>
        <w:rPr>
          <w:rFonts w:ascii="Times New Roman"/>
          <w:sz w:val="22"/>
        </w:rPr>
        <w:t>with complaints, concerns, grievance and appeals rights and review and oversight of</w:t>
      </w:r>
      <w:r>
        <w:rPr>
          <w:rFonts w:ascii="Times New Roman"/>
          <w:spacing w:val="-18"/>
          <w:sz w:val="22"/>
        </w:rPr>
        <w:t> </w:t>
      </w:r>
      <w:r>
        <w:rPr>
          <w:rFonts w:ascii="Times New Roman"/>
          <w:sz w:val="22"/>
        </w:rPr>
        <w:t>systemic</w:t>
      </w:r>
      <w:r>
        <w:rPr>
          <w:rFonts w:ascii="Times New Roman"/>
          <w:w w:val="100"/>
          <w:sz w:val="22"/>
        </w:rPr>
        <w:t> </w:t>
      </w:r>
      <w:r>
        <w:rPr>
          <w:rFonts w:ascii="Times New Roman"/>
          <w:sz w:val="22"/>
        </w:rPr>
        <w:t>issues in Medicaid LTSS</w:t>
      </w:r>
      <w:r>
        <w:rPr>
          <w:rFonts w:ascii="Times New Roman"/>
          <w:spacing w:val="-2"/>
          <w:sz w:val="22"/>
        </w:rPr>
        <w:t> </w:t>
      </w:r>
      <w:r>
        <w:rPr>
          <w:rFonts w:ascii="Times New Roman"/>
          <w:sz w:val="22"/>
        </w:rPr>
        <w:t>programs.</w:t>
      </w:r>
    </w:p>
    <w:p>
      <w:pPr>
        <w:pStyle w:val="ListParagraph"/>
        <w:numPr>
          <w:ilvl w:val="0"/>
          <w:numId w:val="1"/>
        </w:numPr>
        <w:tabs>
          <w:tab w:pos="821" w:val="left" w:leader="none"/>
        </w:tabs>
        <w:spacing w:line="276" w:lineRule="auto" w:before="0" w:after="0"/>
        <w:ind w:left="820" w:right="228" w:hanging="36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sz w:val="22"/>
        </w:rPr>
        <w:t>The requirement of a Medical Loss Ratio of no less than 85%, provided that it is implemented</w:t>
      </w:r>
      <w:r>
        <w:rPr>
          <w:rFonts w:ascii="Times New Roman"/>
          <w:spacing w:val="-20"/>
          <w:sz w:val="22"/>
        </w:rPr>
        <w:t> </w:t>
      </w:r>
      <w:r>
        <w:rPr>
          <w:rFonts w:ascii="Times New Roman"/>
          <w:sz w:val="22"/>
        </w:rPr>
        <w:t>in</w:t>
      </w:r>
      <w:r>
        <w:rPr>
          <w:rFonts w:ascii="Times New Roman"/>
          <w:w w:val="100"/>
          <w:sz w:val="22"/>
        </w:rPr>
        <w:t> </w:t>
      </w:r>
      <w:r>
        <w:rPr>
          <w:rFonts w:ascii="Times New Roman"/>
          <w:sz w:val="22"/>
        </w:rPr>
        <w:t>such a way as not to disincentivize enhanced case management or the provision of goods</w:t>
      </w:r>
      <w:r>
        <w:rPr>
          <w:rFonts w:ascii="Times New Roman"/>
          <w:spacing w:val="-19"/>
          <w:sz w:val="22"/>
        </w:rPr>
        <w:t> </w:t>
      </w:r>
      <w:r>
        <w:rPr>
          <w:rFonts w:ascii="Times New Roman"/>
          <w:sz w:val="22"/>
        </w:rPr>
        <w:t>and</w:t>
      </w:r>
      <w:r>
        <w:rPr>
          <w:rFonts w:ascii="Times New Roman"/>
          <w:w w:val="100"/>
          <w:sz w:val="22"/>
        </w:rPr>
        <w:t> </w:t>
      </w:r>
      <w:r>
        <w:rPr>
          <w:rFonts w:ascii="Times New Roman"/>
          <w:sz w:val="22"/>
        </w:rPr>
        <w:t>services by the MCO that enhance community integration of people with</w:t>
      </w:r>
      <w:r>
        <w:rPr>
          <w:rFonts w:ascii="Times New Roman"/>
          <w:spacing w:val="-19"/>
          <w:sz w:val="22"/>
        </w:rPr>
        <w:t> </w:t>
      </w:r>
      <w:r>
        <w:rPr>
          <w:rFonts w:ascii="Times New Roman"/>
          <w:sz w:val="22"/>
        </w:rPr>
        <w:t>disabilities.</w:t>
      </w:r>
    </w:p>
    <w:p>
      <w:pPr>
        <w:pStyle w:val="ListParagraph"/>
        <w:numPr>
          <w:ilvl w:val="0"/>
          <w:numId w:val="1"/>
        </w:numPr>
        <w:tabs>
          <w:tab w:pos="821" w:val="left" w:leader="none"/>
        </w:tabs>
        <w:spacing w:line="273" w:lineRule="auto" w:before="0" w:after="0"/>
        <w:ind w:left="820" w:right="154" w:hanging="36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 w:cs="Times New Roman" w:eastAsia="Times New Roman"/>
          <w:sz w:val="22"/>
          <w:szCs w:val="22"/>
        </w:rPr>
        <w:t>Reinforcing the applicability of the Supreme Court</w:t>
      </w:r>
      <w:r>
        <w:rPr>
          <w:rFonts w:ascii="Times New Roman" w:hAnsi="Times New Roman" w:cs="Times New Roman" w:eastAsia="Times New Roman"/>
          <w:sz w:val="22"/>
          <w:szCs w:val="22"/>
        </w:rPr>
        <w:t>’s 1999 </w:t>
      </w:r>
      <w:r>
        <w:rPr>
          <w:rFonts w:ascii="Times New Roman" w:hAnsi="Times New Roman" w:cs="Times New Roman" w:eastAsia="Times New Roman"/>
          <w:i/>
          <w:sz w:val="22"/>
          <w:szCs w:val="22"/>
        </w:rPr>
        <w:t>Olmstead v. L.C. </w:t>
      </w:r>
      <w:r>
        <w:rPr>
          <w:rFonts w:ascii="Times New Roman" w:hAnsi="Times New Roman" w:cs="Times New Roman" w:eastAsia="Times New Roman"/>
          <w:sz w:val="22"/>
          <w:szCs w:val="22"/>
        </w:rPr>
        <w:t>decision to</w:t>
      </w:r>
      <w:r>
        <w:rPr>
          <w:rFonts w:ascii="Times New Roman" w:hAnsi="Times New Roman" w:cs="Times New Roman" w:eastAsia="Times New Roman"/>
          <w:spacing w:val="-21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z w:val="22"/>
          <w:szCs w:val="22"/>
        </w:rPr>
        <w:t>Medicaid</w:t>
      </w:r>
      <w:r>
        <w:rPr>
          <w:rFonts w:ascii="Times New Roman" w:hAnsi="Times New Roman" w:cs="Times New Roman" w:eastAsia="Times New Roman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z w:val="22"/>
          <w:szCs w:val="22"/>
        </w:rPr>
        <w:t>Managed Care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z w:val="22"/>
          <w:szCs w:val="22"/>
        </w:rPr>
        <w:t>programs;</w:t>
      </w:r>
    </w:p>
    <w:p>
      <w:pPr>
        <w:pStyle w:val="ListParagraph"/>
        <w:numPr>
          <w:ilvl w:val="0"/>
          <w:numId w:val="1"/>
        </w:numPr>
        <w:tabs>
          <w:tab w:pos="821" w:val="left" w:leader="none"/>
        </w:tabs>
        <w:spacing w:line="276" w:lineRule="auto" w:before="2" w:after="0"/>
        <w:ind w:left="820" w:right="440" w:hanging="36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 w:cs="Times New Roman" w:eastAsia="Times New Roman"/>
          <w:sz w:val="22"/>
          <w:szCs w:val="22"/>
        </w:rPr>
        <w:t>The requirement that states must include within its contracts, </w:t>
      </w:r>
      <w:r>
        <w:rPr>
          <w:rFonts w:ascii="Times New Roman" w:hAnsi="Times New Roman" w:cs="Times New Roman" w:eastAsia="Times New Roman"/>
          <w:sz w:val="22"/>
          <w:szCs w:val="22"/>
        </w:rPr>
        <w:t>“</w:t>
      </w:r>
      <w:r>
        <w:rPr>
          <w:rFonts w:ascii="Times New Roman" w:hAnsi="Times New Roman" w:cs="Times New Roman" w:eastAsia="Times New Roman"/>
          <w:sz w:val="22"/>
          <w:szCs w:val="22"/>
        </w:rPr>
        <w:t>as a part of its</w:t>
      </w:r>
      <w:r>
        <w:rPr>
          <w:rFonts w:ascii="Times New Roman" w:hAnsi="Times New Roman" w:cs="Times New Roman" w:eastAsia="Times New Roman"/>
          <w:spacing w:val="-2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z w:val="22"/>
          <w:szCs w:val="22"/>
        </w:rPr>
        <w:t>performance</w:t>
      </w:r>
      <w:r>
        <w:rPr>
          <w:rFonts w:ascii="Times New Roman" w:hAnsi="Times New Roman" w:cs="Times New Roman" w:eastAsia="Times New Roman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z w:val="22"/>
          <w:szCs w:val="22"/>
        </w:rPr>
        <w:t>measurement activities under this paragraph and in addition to other measures required of</w:t>
      </w:r>
      <w:r>
        <w:rPr>
          <w:rFonts w:ascii="Times New Roman" w:hAnsi="Times New Roman" w:cs="Times New Roman" w:eastAsia="Times New Roman"/>
          <w:spacing w:val="-24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z w:val="22"/>
          <w:szCs w:val="22"/>
        </w:rPr>
        <w:t>all</w:t>
      </w:r>
      <w:r>
        <w:rPr>
          <w:rFonts w:ascii="Times New Roman" w:hAnsi="Times New Roman" w:cs="Times New Roman" w:eastAsia="Times New Roman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z w:val="22"/>
          <w:szCs w:val="22"/>
        </w:rPr>
        <w:t>MCOs, PIHPs, and PAHPs, measures that assess the quality of life of beneficiaries and</w:t>
      </w:r>
      <w:r>
        <w:rPr>
          <w:rFonts w:ascii="Times New Roman" w:hAnsi="Times New Roman" w:cs="Times New Roman" w:eastAsia="Times New Roman"/>
          <w:spacing w:val="-16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z w:val="22"/>
          <w:szCs w:val="22"/>
        </w:rPr>
        <w:t>the</w:t>
      </w:r>
      <w:r>
        <w:rPr>
          <w:rFonts w:ascii="Times New Roman" w:hAnsi="Times New Roman" w:cs="Times New Roman" w:eastAsia="Times New Roman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z w:val="22"/>
          <w:szCs w:val="22"/>
        </w:rPr>
        <w:t>outcomes of the MCO, PIHP, or PAHP’s rebalancing and community integration activities</w:t>
      </w:r>
      <w:r>
        <w:rPr>
          <w:rFonts w:ascii="Times New Roman" w:hAnsi="Times New Roman" w:cs="Times New Roman" w:eastAsia="Times New Roman"/>
          <w:spacing w:val="-24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z w:val="22"/>
          <w:szCs w:val="22"/>
        </w:rPr>
        <w:t>for</w:t>
      </w:r>
      <w:r>
        <w:rPr>
          <w:rFonts w:ascii="Times New Roman" w:hAnsi="Times New Roman" w:cs="Times New Roman" w:eastAsia="Times New Roman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z w:val="22"/>
          <w:szCs w:val="22"/>
        </w:rPr>
        <w:t>beneficiaries receiving</w:t>
      </w:r>
      <w:r>
        <w:rPr>
          <w:rFonts w:ascii="Times New Roman" w:hAnsi="Times New Roman" w:cs="Times New Roman" w:eastAsia="Times New Roman"/>
          <w:spacing w:val="-4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z w:val="22"/>
          <w:szCs w:val="22"/>
        </w:rPr>
        <w:t>LTSS.</w:t>
      </w:r>
      <w:r>
        <w:rPr>
          <w:rFonts w:ascii="Times New Roman" w:hAnsi="Times New Roman" w:cs="Times New Roman" w:eastAsia="Times New Roman"/>
          <w:sz w:val="22"/>
          <w:szCs w:val="22"/>
        </w:rPr>
        <w:t>”</w:t>
      </w:r>
    </w:p>
    <w:p>
      <w:pPr>
        <w:pStyle w:val="ListParagraph"/>
        <w:numPr>
          <w:ilvl w:val="0"/>
          <w:numId w:val="1"/>
        </w:numPr>
        <w:tabs>
          <w:tab w:pos="821" w:val="left" w:leader="none"/>
        </w:tabs>
        <w:spacing w:line="276" w:lineRule="auto" w:before="2" w:after="0"/>
        <w:ind w:left="820" w:right="671" w:hanging="36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 w:cs="Times New Roman" w:eastAsia="Times New Roman"/>
          <w:sz w:val="22"/>
          <w:szCs w:val="22"/>
        </w:rPr>
        <w:t>The requirement that, </w:t>
      </w:r>
      <w:r>
        <w:rPr>
          <w:rFonts w:ascii="Times New Roman" w:hAnsi="Times New Roman" w:cs="Times New Roman" w:eastAsia="Times New Roman"/>
          <w:color w:val="212121"/>
          <w:sz w:val="22"/>
          <w:szCs w:val="22"/>
        </w:rPr>
        <w:t>if a state does not permit participants enrolled in MLTSS to</w:t>
      </w:r>
      <w:r>
        <w:rPr>
          <w:rFonts w:ascii="Times New Roman" w:hAnsi="Times New Roman" w:cs="Times New Roman" w:eastAsia="Times New Roman"/>
          <w:color w:val="212121"/>
          <w:spacing w:val="-21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color w:val="212121"/>
          <w:sz w:val="22"/>
          <w:szCs w:val="22"/>
        </w:rPr>
        <w:t>switch</w:t>
      </w:r>
      <w:r>
        <w:rPr>
          <w:rFonts w:ascii="Times New Roman" w:hAnsi="Times New Roman" w:cs="Times New Roman" w:eastAsia="Times New Roman"/>
          <w:color w:val="212121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color w:val="212121"/>
          <w:sz w:val="22"/>
          <w:szCs w:val="22"/>
        </w:rPr>
        <w:t>managed care plans (or disenroll to Fee For Service) at any time, it must permit enrollees</w:t>
      </w:r>
      <w:r>
        <w:rPr>
          <w:rFonts w:ascii="Times New Roman" w:hAnsi="Times New Roman" w:cs="Times New Roman" w:eastAsia="Times New Roman"/>
          <w:color w:val="212121"/>
          <w:spacing w:val="-28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color w:val="212121"/>
          <w:sz w:val="22"/>
          <w:szCs w:val="22"/>
        </w:rPr>
        <w:t>to</w:t>
      </w:r>
      <w:r>
        <w:rPr>
          <w:rFonts w:ascii="Times New Roman" w:hAnsi="Times New Roman" w:cs="Times New Roman" w:eastAsia="Times New Roman"/>
          <w:color w:val="212121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color w:val="212121"/>
          <w:sz w:val="22"/>
          <w:szCs w:val="22"/>
        </w:rPr>
        <w:t>disenroll and switch to another managed care plan or Fee for Serv</w:t>
      </w:r>
      <w:r>
        <w:rPr>
          <w:rFonts w:ascii="Times New Roman" w:hAnsi="Times New Roman" w:cs="Times New Roman" w:eastAsia="Times New Roman"/>
          <w:color w:val="212121"/>
          <w:sz w:val="22"/>
          <w:szCs w:val="22"/>
        </w:rPr>
        <w:t>ice (FFS) “when</w:t>
      </w:r>
      <w:r>
        <w:rPr>
          <w:rFonts w:ascii="Times New Roman" w:hAnsi="Times New Roman" w:cs="Times New Roman" w:eastAsia="Times New Roman"/>
          <w:color w:val="212121"/>
          <w:spacing w:val="-19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color w:val="212121"/>
          <w:sz w:val="22"/>
          <w:szCs w:val="22"/>
        </w:rPr>
        <w:t>the</w:t>
      </w:r>
      <w:r>
        <w:rPr>
          <w:rFonts w:ascii="Times New Roman" w:hAnsi="Times New Roman" w:cs="Times New Roman" w:eastAsia="Times New Roman"/>
          <w:color w:val="212121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color w:val="212121"/>
          <w:sz w:val="22"/>
          <w:szCs w:val="22"/>
        </w:rPr>
        <w:t>termination of a provider from their MLTSS network would result in a disruption in</w:t>
      </w:r>
      <w:r>
        <w:rPr>
          <w:rFonts w:ascii="Times New Roman" w:hAnsi="Times New Roman" w:cs="Times New Roman" w:eastAsia="Times New Roman"/>
          <w:color w:val="212121"/>
          <w:spacing w:val="-31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color w:val="212121"/>
          <w:sz w:val="22"/>
          <w:szCs w:val="22"/>
        </w:rPr>
        <w:t>their</w:t>
      </w:r>
      <w:r>
        <w:rPr>
          <w:rFonts w:ascii="Times New Roman" w:hAnsi="Times New Roman" w:cs="Times New Roman" w:eastAsia="Times New Roman"/>
          <w:color w:val="212121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color w:val="212121"/>
          <w:sz w:val="22"/>
          <w:szCs w:val="22"/>
        </w:rPr>
        <w:t>residence or</w:t>
      </w:r>
      <w:r>
        <w:rPr>
          <w:rFonts w:ascii="Times New Roman" w:hAnsi="Times New Roman" w:cs="Times New Roman" w:eastAsia="Times New Roman"/>
          <w:color w:val="212121"/>
          <w:spacing w:val="-1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color w:val="212121"/>
          <w:sz w:val="22"/>
          <w:szCs w:val="22"/>
        </w:rPr>
        <w:t>employment;”</w:t>
      </w:r>
      <w:r>
        <w:rPr>
          <w:rFonts w:ascii="Times New Roman" w:hAnsi="Times New Roman" w:cs="Times New Roman" w:eastAsia="Times New Roman"/>
          <w:sz w:val="22"/>
          <w:szCs w:val="22"/>
        </w:rPr>
      </w:r>
    </w:p>
    <w:p>
      <w:pPr>
        <w:pStyle w:val="ListParagraph"/>
        <w:numPr>
          <w:ilvl w:val="0"/>
          <w:numId w:val="1"/>
        </w:numPr>
        <w:tabs>
          <w:tab w:pos="821" w:val="left" w:leader="none"/>
        </w:tabs>
        <w:spacing w:line="273" w:lineRule="auto" w:before="0" w:after="0"/>
        <w:ind w:left="820" w:right="800" w:hanging="36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 w:cs="Times New Roman" w:eastAsia="Times New Roman"/>
          <w:color w:val="212121"/>
          <w:sz w:val="22"/>
          <w:szCs w:val="22"/>
        </w:rPr>
        <w:t>The requirement that states </w:t>
      </w:r>
      <w:r>
        <w:rPr>
          <w:rFonts w:ascii="Times New Roman" w:hAnsi="Times New Roman" w:cs="Times New Roman" w:eastAsia="Times New Roman"/>
          <w:color w:val="212121"/>
          <w:sz w:val="22"/>
          <w:szCs w:val="22"/>
        </w:rPr>
        <w:t>“</w:t>
      </w:r>
      <w:r>
        <w:rPr>
          <w:rFonts w:ascii="Times New Roman" w:hAnsi="Times New Roman" w:cs="Times New Roman" w:eastAsia="Times New Roman"/>
          <w:sz w:val="22"/>
          <w:szCs w:val="22"/>
        </w:rPr>
        <w:t>establish time and distance standards specifically for</w:t>
      </w:r>
      <w:r>
        <w:rPr>
          <w:rFonts w:ascii="Times New Roman" w:hAnsi="Times New Roman" w:cs="Times New Roman" w:eastAsia="Times New Roman"/>
          <w:spacing w:val="-24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z w:val="22"/>
          <w:szCs w:val="22"/>
        </w:rPr>
        <w:t>MLTSS</w:t>
      </w:r>
      <w:r>
        <w:rPr>
          <w:rFonts w:ascii="Times New Roman" w:hAnsi="Times New Roman" w:cs="Times New Roman" w:eastAsia="Times New Roman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z w:val="22"/>
          <w:szCs w:val="22"/>
        </w:rPr>
        <w:t>programs</w:t>
      </w:r>
      <w:r>
        <w:rPr>
          <w:rFonts w:ascii="Times New Roman" w:hAnsi="Times New Roman" w:cs="Times New Roman" w:eastAsia="Times New Roman"/>
          <w:sz w:val="22"/>
          <w:szCs w:val="22"/>
        </w:rPr>
        <w:t>”;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pStyle w:val="BodyText"/>
        <w:spacing w:line="276" w:lineRule="auto" w:before="189"/>
        <w:ind w:left="100" w:right="121" w:firstLine="0"/>
        <w:jc w:val="left"/>
      </w:pPr>
      <w:r>
        <w:rPr/>
        <w:t>At the same time, ASAN</w:t>
      </w:r>
      <w:r>
        <w:rPr>
          <w:rFonts w:ascii="Times New Roman" w:hAnsi="Times New Roman" w:cs="Times New Roman" w:eastAsia="Times New Roman"/>
        </w:rPr>
        <w:t>’</w:t>
      </w:r>
      <w:r>
        <w:rPr/>
        <w:t>s research and stakeholder engagement on this topic compels us to</w:t>
      </w:r>
      <w:r>
        <w:rPr>
          <w:spacing w:val="-18"/>
        </w:rPr>
        <w:t> </w:t>
      </w:r>
      <w:r>
        <w:rPr/>
        <w:t>express</w:t>
      </w:r>
      <w:r>
        <w:rPr>
          <w:w w:val="100"/>
        </w:rPr>
        <w:t> </w:t>
      </w:r>
      <w:r>
        <w:rPr/>
        <w:t>concerns regarding other areas of the proposed rule that are inadequate to the needs of people</w:t>
      </w:r>
      <w:r>
        <w:rPr>
          <w:spacing w:val="-16"/>
        </w:rPr>
        <w:t> </w:t>
      </w:r>
      <w:r>
        <w:rPr/>
        <w:t>with</w:t>
      </w:r>
      <w:r>
        <w:rPr>
          <w:w w:val="100"/>
        </w:rPr>
        <w:t> </w:t>
      </w:r>
      <w:r>
        <w:rPr/>
        <w:t>disabilities receiving services under managed care frameworks. As such, ASAN wishes to articulate</w:t>
      </w:r>
      <w:r>
        <w:rPr>
          <w:spacing w:val="-30"/>
        </w:rPr>
        <w:t> </w:t>
      </w:r>
      <w:r>
        <w:rPr/>
        <w:t>the</w:t>
      </w:r>
      <w:r>
        <w:rPr>
          <w:w w:val="100"/>
        </w:rPr>
        <w:t> </w:t>
      </w:r>
      <w:r>
        <w:rPr/>
        <w:t>following</w:t>
      </w:r>
      <w:r>
        <w:rPr>
          <w:spacing w:val="-12"/>
        </w:rPr>
        <w:t> </w:t>
      </w:r>
      <w:r>
        <w:rPr/>
        <w:t>recommendations:</w:t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17"/>
          <w:szCs w:val="17"/>
        </w:rPr>
      </w:pPr>
    </w:p>
    <w:p>
      <w:pPr>
        <w:pStyle w:val="BodyText"/>
        <w:spacing w:line="240" w:lineRule="auto"/>
        <w:ind w:left="100" w:right="121" w:firstLine="0"/>
        <w:jc w:val="left"/>
      </w:pPr>
      <w:r>
        <w:rPr/>
        <w:t>Recommendations:</w:t>
      </w:r>
    </w:p>
    <w:p>
      <w:pPr>
        <w:spacing w:after="0" w:line="240" w:lineRule="auto"/>
        <w:jc w:val="left"/>
        <w:sectPr>
          <w:type w:val="continuous"/>
          <w:pgSz w:w="12240" w:h="15840"/>
          <w:pgMar w:top="1380" w:bottom="280" w:left="1340" w:right="1340"/>
        </w:sectPr>
      </w:pPr>
    </w:p>
    <w:p>
      <w:pPr>
        <w:pStyle w:val="ListParagraph"/>
        <w:numPr>
          <w:ilvl w:val="0"/>
          <w:numId w:val="2"/>
        </w:numPr>
        <w:tabs>
          <w:tab w:pos="461" w:val="left" w:leader="none"/>
        </w:tabs>
        <w:spacing w:line="276" w:lineRule="auto" w:before="37" w:after="0"/>
        <w:ind w:left="460" w:right="130" w:hanging="36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 w:cs="Times New Roman" w:eastAsia="Times New Roman"/>
          <w:b/>
          <w:bCs/>
          <w:sz w:val="22"/>
          <w:szCs w:val="22"/>
        </w:rPr>
        <w:t>We recommend that the stakeholder engagement group called for by the regulation</w:t>
      </w:r>
      <w:r>
        <w:rPr>
          <w:rFonts w:ascii="Times New Roman" w:hAnsi="Times New Roman" w:cs="Times New Roman" w:eastAsia="Times New Roman"/>
          <w:b/>
          <w:bCs/>
          <w:spacing w:val="-16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/>
          <w:bCs/>
          <w:sz w:val="22"/>
          <w:szCs w:val="22"/>
        </w:rPr>
        <w:t>must</w:t>
      </w:r>
      <w:r>
        <w:rPr>
          <w:rFonts w:ascii="Times New Roman" w:hAnsi="Times New Roman" w:cs="Times New Roman" w:eastAsia="Times New Roman"/>
          <w:b/>
          <w:bCs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/>
          <w:bCs/>
          <w:sz w:val="22"/>
          <w:szCs w:val="22"/>
        </w:rPr>
        <w:t>include groups run by people with disabilities across multiple disability</w:t>
      </w:r>
      <w:r>
        <w:rPr>
          <w:rFonts w:ascii="Times New Roman" w:hAnsi="Times New Roman" w:cs="Times New Roman" w:eastAsia="Times New Roman"/>
          <w:b/>
          <w:bCs/>
          <w:spacing w:val="1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/>
          <w:bCs/>
          <w:sz w:val="22"/>
          <w:szCs w:val="22"/>
        </w:rPr>
        <w:t>categories,</w:t>
      </w:r>
      <w:r>
        <w:rPr>
          <w:rFonts w:ascii="Times New Roman" w:hAnsi="Times New Roman" w:cs="Times New Roman" w:eastAsia="Times New Roman"/>
          <w:b/>
          <w:bCs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/>
          <w:bCs/>
          <w:sz w:val="22"/>
          <w:szCs w:val="22"/>
        </w:rPr>
        <w:t>including (where present within the state and where said populations are included</w:t>
      </w:r>
      <w:r>
        <w:rPr>
          <w:rFonts w:ascii="Times New Roman" w:hAnsi="Times New Roman" w:cs="Times New Roman" w:eastAsia="Times New Roman"/>
          <w:b/>
          <w:bCs/>
          <w:spacing w:val="-18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/>
          <w:bCs/>
          <w:sz w:val="22"/>
          <w:szCs w:val="22"/>
        </w:rPr>
        <w:t>within</w:t>
      </w:r>
      <w:r>
        <w:rPr>
          <w:rFonts w:ascii="Times New Roman" w:hAnsi="Times New Roman" w:cs="Times New Roman" w:eastAsia="Times New Roman"/>
          <w:b/>
          <w:bCs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/>
          <w:bCs/>
          <w:sz w:val="22"/>
          <w:szCs w:val="22"/>
        </w:rPr>
        <w:t>the managed care framework) Centers for Independent Living, developmental</w:t>
      </w:r>
      <w:r>
        <w:rPr>
          <w:rFonts w:ascii="Times New Roman" w:hAnsi="Times New Roman" w:cs="Times New Roman" w:eastAsia="Times New Roman"/>
          <w:b/>
          <w:bCs/>
          <w:spacing w:val="-14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/>
          <w:bCs/>
          <w:sz w:val="22"/>
          <w:szCs w:val="22"/>
        </w:rPr>
        <w:t>disability</w:t>
      </w:r>
      <w:r>
        <w:rPr>
          <w:rFonts w:ascii="Times New Roman" w:hAnsi="Times New Roman" w:cs="Times New Roman" w:eastAsia="Times New Roman"/>
          <w:b/>
          <w:bCs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/>
          <w:bCs/>
          <w:sz w:val="22"/>
          <w:szCs w:val="22"/>
        </w:rPr>
        <w:t>self-advocacy groups, mental health consumer organizations and other relevant</w:t>
      </w:r>
      <w:r>
        <w:rPr>
          <w:rFonts w:ascii="Times New Roman" w:hAnsi="Times New Roman" w:cs="Times New Roman" w:eastAsia="Times New Roman"/>
          <w:b/>
          <w:bCs/>
          <w:spacing w:val="-12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/>
          <w:bCs/>
          <w:sz w:val="22"/>
          <w:szCs w:val="22"/>
        </w:rPr>
        <w:t>stakeholder</w:t>
      </w:r>
      <w:r>
        <w:rPr>
          <w:rFonts w:ascii="Times New Roman" w:hAnsi="Times New Roman" w:cs="Times New Roman" w:eastAsia="Times New Roman"/>
          <w:b/>
          <w:bCs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/>
          <w:bCs/>
          <w:sz w:val="22"/>
          <w:szCs w:val="22"/>
        </w:rPr>
        <w:t>organizations run by beneficiaries who utilize MLTSS. </w:t>
      </w:r>
      <w:r>
        <w:rPr>
          <w:rFonts w:ascii="Times New Roman" w:hAnsi="Times New Roman" w:cs="Times New Roman" w:eastAsia="Times New Roman"/>
          <w:sz w:val="22"/>
          <w:szCs w:val="22"/>
        </w:rPr>
        <w:t>To quote the National Council</w:t>
      </w:r>
      <w:r>
        <w:rPr>
          <w:rFonts w:ascii="Times New Roman" w:hAnsi="Times New Roman" w:cs="Times New Roman" w:eastAsia="Times New Roman"/>
          <w:spacing w:val="-15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z w:val="22"/>
          <w:szCs w:val="22"/>
        </w:rPr>
        <w:t>on</w:t>
      </w:r>
      <w:r>
        <w:rPr>
          <w:rFonts w:ascii="Times New Roman" w:hAnsi="Times New Roman" w:cs="Times New Roman" w:eastAsia="Times New Roman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z w:val="22"/>
          <w:szCs w:val="22"/>
        </w:rPr>
        <w:t>Disability</w:t>
      </w:r>
      <w:r>
        <w:rPr>
          <w:rFonts w:ascii="Times New Roman" w:hAnsi="Times New Roman" w:cs="Times New Roman" w:eastAsia="Times New Roman"/>
          <w:sz w:val="22"/>
          <w:szCs w:val="22"/>
        </w:rPr>
        <w:t>’s </w:t>
      </w:r>
      <w:r>
        <w:rPr>
          <w:rFonts w:ascii="Times New Roman" w:hAnsi="Times New Roman" w:cs="Times New Roman" w:eastAsia="Times New Roman"/>
          <w:sz w:val="22"/>
          <w:szCs w:val="22"/>
        </w:rPr>
        <w:t>report on this issue, </w:t>
      </w:r>
      <w:r>
        <w:rPr>
          <w:rFonts w:ascii="Times New Roman" w:hAnsi="Times New Roman" w:cs="Times New Roman" w:eastAsia="Times New Roman"/>
          <w:sz w:val="22"/>
          <w:szCs w:val="22"/>
        </w:rPr>
        <w:t>““States must ensure that key disability</w:t>
      </w:r>
      <w:r>
        <w:rPr>
          <w:rFonts w:ascii="Times New Roman" w:hAnsi="Times New Roman" w:cs="Times New Roman" w:eastAsia="Times New Roman"/>
          <w:spacing w:val="-26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z w:val="22"/>
          <w:szCs w:val="22"/>
        </w:rPr>
        <w:t>stakeholders—</w:t>
      </w:r>
      <w:r>
        <w:rPr>
          <w:rFonts w:ascii="Times New Roman" w:hAnsi="Times New Roman" w:cs="Times New Roman" w:eastAsia="Times New Roman"/>
          <w:sz w:val="22"/>
          <w:szCs w:val="22"/>
        </w:rPr>
        <w:t>including</w:t>
      </w:r>
      <w:r>
        <w:rPr>
          <w:rFonts w:ascii="Times New Roman" w:hAnsi="Times New Roman" w:cs="Times New Roman" w:eastAsia="Times New Roman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z w:val="22"/>
          <w:szCs w:val="22"/>
        </w:rPr>
        <w:t>people with disabilities, family members, support agency representatives, and</w:t>
      </w:r>
      <w:r>
        <w:rPr>
          <w:rFonts w:ascii="Times New Roman" w:hAnsi="Times New Roman" w:cs="Times New Roman" w:eastAsia="Times New Roman"/>
          <w:spacing w:val="-16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z w:val="22"/>
          <w:szCs w:val="22"/>
        </w:rPr>
        <w:t>advocates</w:t>
      </w:r>
      <w:r>
        <w:rPr>
          <w:rFonts w:ascii="Times New Roman" w:hAnsi="Times New Roman" w:cs="Times New Roman" w:eastAsia="Times New Roman"/>
          <w:sz w:val="22"/>
          <w:szCs w:val="22"/>
        </w:rPr>
        <w:t>—</w:t>
      </w:r>
      <w:r>
        <w:rPr>
          <w:rFonts w:ascii="Times New Roman" w:hAnsi="Times New Roman" w:cs="Times New Roman" w:eastAsia="Times New Roman"/>
          <w:sz w:val="22"/>
          <w:szCs w:val="22"/>
        </w:rPr>
        <w:t>are</w:t>
      </w:r>
      <w:r>
        <w:rPr>
          <w:rFonts w:ascii="Times New Roman" w:hAnsi="Times New Roman" w:cs="Times New Roman" w:eastAsia="Times New Roman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z w:val="22"/>
          <w:szCs w:val="22"/>
        </w:rPr>
        <w:t>fully engaged in designing, implementing, and monitoring the outcomes and effectiveness</w:t>
      </w:r>
      <w:r>
        <w:rPr>
          <w:rFonts w:ascii="Times New Roman" w:hAnsi="Times New Roman" w:cs="Times New Roman" w:eastAsia="Times New Roman"/>
          <w:spacing w:val="-18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z w:val="22"/>
          <w:szCs w:val="22"/>
        </w:rPr>
        <w:t>of</w:t>
      </w:r>
      <w:r>
        <w:rPr>
          <w:rFonts w:ascii="Times New Roman" w:hAnsi="Times New Roman" w:cs="Times New Roman" w:eastAsia="Times New Roman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z w:val="22"/>
          <w:szCs w:val="22"/>
        </w:rPr>
        <w:t>Medicaid managed care services and service delivery</w:t>
      </w:r>
      <w:r>
        <w:rPr>
          <w:rFonts w:ascii="Times New Roman" w:hAnsi="Times New Roman" w:cs="Times New Roman" w:eastAsia="Times New Roman"/>
          <w:spacing w:val="-1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z w:val="22"/>
          <w:szCs w:val="22"/>
        </w:rPr>
        <w:t>systems.</w:t>
      </w:r>
      <w:r>
        <w:rPr>
          <w:rFonts w:ascii="Times New Roman" w:hAnsi="Times New Roman" w:cs="Times New Roman" w:eastAsia="Times New Roman"/>
          <w:sz w:val="22"/>
          <w:szCs w:val="22"/>
        </w:rPr>
        <w:t>”</w:t>
      </w:r>
    </w:p>
    <w:p>
      <w:pPr>
        <w:pStyle w:val="Heading1"/>
        <w:numPr>
          <w:ilvl w:val="0"/>
          <w:numId w:val="2"/>
        </w:numPr>
        <w:tabs>
          <w:tab w:pos="461" w:val="left" w:leader="none"/>
        </w:tabs>
        <w:spacing w:line="276" w:lineRule="auto" w:before="4" w:after="0"/>
        <w:ind w:left="460" w:right="204" w:hanging="360"/>
        <w:jc w:val="left"/>
        <w:rPr>
          <w:b w:val="0"/>
          <w:bCs w:val="0"/>
        </w:rPr>
      </w:pPr>
      <w:r>
        <w:rPr/>
        <w:t>We recommend that stakeholder engagement groups should also include</w:t>
      </w:r>
      <w:r>
        <w:rPr>
          <w:spacing w:val="-14"/>
        </w:rPr>
        <w:t> </w:t>
      </w:r>
      <w:r>
        <w:rPr/>
        <w:t>representation</w:t>
      </w:r>
      <w:r>
        <w:rPr>
          <w:w w:val="100"/>
        </w:rPr>
        <w:t> </w:t>
      </w:r>
      <w:r>
        <w:rPr/>
        <w:t>from the state Protection and Advocacy agency for Protection and Advocacy for</w:t>
      </w:r>
      <w:r>
        <w:rPr>
          <w:spacing w:val="-16"/>
        </w:rPr>
        <w:t> </w:t>
      </w:r>
      <w:r>
        <w:rPr/>
        <w:t>Persons</w:t>
      </w:r>
      <w:r>
        <w:rPr>
          <w:w w:val="100"/>
        </w:rPr>
        <w:t> </w:t>
      </w:r>
      <w:r>
        <w:rPr/>
        <w:t>with Developmental Disabilities (PADD) and Protection and Advocacy for Individuals</w:t>
      </w:r>
      <w:r>
        <w:rPr>
          <w:spacing w:val="-24"/>
        </w:rPr>
        <w:t> </w:t>
      </w:r>
      <w:r>
        <w:rPr/>
        <w:t>with</w:t>
      </w:r>
      <w:r>
        <w:rPr>
          <w:w w:val="100"/>
        </w:rPr>
        <w:t> </w:t>
      </w:r>
      <w:r>
        <w:rPr/>
        <w:t>Mental Illness.</w:t>
      </w:r>
      <w:r>
        <w:rPr>
          <w:b w:val="0"/>
        </w:rPr>
      </w:r>
    </w:p>
    <w:p>
      <w:pPr>
        <w:pStyle w:val="ListParagraph"/>
        <w:numPr>
          <w:ilvl w:val="0"/>
          <w:numId w:val="2"/>
        </w:numPr>
        <w:tabs>
          <w:tab w:pos="461" w:val="left" w:leader="none"/>
        </w:tabs>
        <w:spacing w:line="276" w:lineRule="auto" w:before="0" w:after="0"/>
        <w:ind w:left="460" w:right="254" w:hanging="36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b/>
          <w:sz w:val="22"/>
        </w:rPr>
        <w:t>We recommend that the stakeholder engagement group be required to meet on a</w:t>
      </w:r>
      <w:r>
        <w:rPr>
          <w:rFonts w:ascii="Times New Roman"/>
          <w:b/>
          <w:spacing w:val="-17"/>
          <w:sz w:val="22"/>
        </w:rPr>
        <w:t> </w:t>
      </w:r>
      <w:r>
        <w:rPr>
          <w:rFonts w:ascii="Times New Roman"/>
          <w:b/>
          <w:sz w:val="22"/>
        </w:rPr>
        <w:t>monthly</w:t>
      </w:r>
      <w:r>
        <w:rPr>
          <w:rFonts w:ascii="Times New Roman"/>
          <w:b/>
          <w:w w:val="100"/>
          <w:sz w:val="22"/>
        </w:rPr>
        <w:t> </w:t>
      </w:r>
      <w:r>
        <w:rPr>
          <w:rFonts w:ascii="Times New Roman"/>
          <w:b/>
          <w:sz w:val="22"/>
        </w:rPr>
        <w:t>basis and have access to data on plan quality indicators as it is provided to the state as</w:t>
      </w:r>
      <w:r>
        <w:rPr>
          <w:rFonts w:ascii="Times New Roman"/>
          <w:b/>
          <w:spacing w:val="-25"/>
          <w:sz w:val="22"/>
        </w:rPr>
        <w:t> </w:t>
      </w:r>
      <w:r>
        <w:rPr>
          <w:rFonts w:ascii="Times New Roman"/>
          <w:b/>
          <w:sz w:val="22"/>
        </w:rPr>
        <w:t>well</w:t>
      </w:r>
      <w:r>
        <w:rPr>
          <w:rFonts w:ascii="Times New Roman"/>
          <w:b/>
          <w:w w:val="100"/>
          <w:sz w:val="22"/>
        </w:rPr>
        <w:t> </w:t>
      </w:r>
      <w:r>
        <w:rPr>
          <w:rFonts w:ascii="Times New Roman"/>
          <w:b/>
          <w:sz w:val="22"/>
        </w:rPr>
        <w:t>as information on grievance and appeals, planned modifications to the managed</w:t>
      </w:r>
      <w:r>
        <w:rPr>
          <w:rFonts w:ascii="Times New Roman"/>
          <w:b/>
          <w:spacing w:val="-16"/>
          <w:sz w:val="22"/>
        </w:rPr>
        <w:t> </w:t>
      </w:r>
      <w:r>
        <w:rPr>
          <w:rFonts w:ascii="Times New Roman"/>
          <w:b/>
          <w:sz w:val="22"/>
        </w:rPr>
        <w:t>care</w:t>
      </w:r>
      <w:r>
        <w:rPr>
          <w:rFonts w:ascii="Times New Roman"/>
          <w:b/>
          <w:w w:val="100"/>
          <w:sz w:val="22"/>
        </w:rPr>
        <w:t> </w:t>
      </w:r>
      <w:r>
        <w:rPr>
          <w:rFonts w:ascii="Times New Roman"/>
          <w:b/>
          <w:sz w:val="22"/>
        </w:rPr>
        <w:t>structure and other relevant data in a timely</w:t>
      </w:r>
      <w:r>
        <w:rPr>
          <w:rFonts w:ascii="Times New Roman"/>
          <w:b/>
          <w:spacing w:val="-8"/>
          <w:sz w:val="22"/>
        </w:rPr>
        <w:t> </w:t>
      </w:r>
      <w:r>
        <w:rPr>
          <w:rFonts w:ascii="Times New Roman"/>
          <w:b/>
          <w:sz w:val="22"/>
        </w:rPr>
        <w:t>fashion.</w:t>
      </w:r>
      <w:r>
        <w:rPr>
          <w:rFonts w:ascii="Times New Roman"/>
          <w:sz w:val="22"/>
        </w:rPr>
      </w:r>
    </w:p>
    <w:p>
      <w:pPr>
        <w:pStyle w:val="ListParagraph"/>
        <w:numPr>
          <w:ilvl w:val="0"/>
          <w:numId w:val="2"/>
        </w:numPr>
        <w:tabs>
          <w:tab w:pos="461" w:val="left" w:leader="none"/>
        </w:tabs>
        <w:spacing w:line="276" w:lineRule="auto" w:before="0" w:after="0"/>
        <w:ind w:left="460" w:right="117" w:hanging="36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 w:cs="Times New Roman" w:eastAsia="Times New Roman"/>
          <w:sz w:val="22"/>
          <w:szCs w:val="22"/>
        </w:rPr>
        <w:t>We were pleased to see the requirement that states establish time and distance standards</w:t>
      </w:r>
      <w:r>
        <w:rPr>
          <w:rFonts w:ascii="Times New Roman" w:hAnsi="Times New Roman" w:cs="Times New Roman" w:eastAsia="Times New Roman"/>
          <w:spacing w:val="-2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z w:val="22"/>
          <w:szCs w:val="22"/>
        </w:rPr>
        <w:t>for</w:t>
      </w:r>
      <w:r>
        <w:rPr>
          <w:rFonts w:ascii="Times New Roman" w:hAnsi="Times New Roman" w:cs="Times New Roman" w:eastAsia="Times New Roman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z w:val="22"/>
          <w:szCs w:val="22"/>
        </w:rPr>
        <w:t>MLTSS programs. </w:t>
      </w:r>
      <w:r>
        <w:rPr>
          <w:rFonts w:ascii="Times New Roman" w:hAnsi="Times New Roman" w:cs="Times New Roman" w:eastAsia="Times New Roman"/>
          <w:b/>
          <w:bCs/>
          <w:sz w:val="22"/>
          <w:szCs w:val="22"/>
        </w:rPr>
        <w:t>We recommend that these standards be submitted for public comment</w:t>
      </w:r>
      <w:r>
        <w:rPr>
          <w:rFonts w:ascii="Times New Roman" w:hAnsi="Times New Roman" w:cs="Times New Roman" w:eastAsia="Times New Roman"/>
          <w:b/>
          <w:bCs/>
          <w:spacing w:val="-18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/>
          <w:bCs/>
          <w:sz w:val="22"/>
          <w:szCs w:val="22"/>
        </w:rPr>
        <w:t>as</w:t>
      </w:r>
      <w:r>
        <w:rPr>
          <w:rFonts w:ascii="Times New Roman" w:hAnsi="Times New Roman" w:cs="Times New Roman" w:eastAsia="Times New Roman"/>
          <w:b/>
          <w:bCs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/>
          <w:bCs/>
          <w:sz w:val="22"/>
          <w:szCs w:val="22"/>
        </w:rPr>
        <w:t>part of CMS</w:t>
      </w:r>
      <w:r>
        <w:rPr>
          <w:rFonts w:ascii="Times New Roman" w:hAnsi="Times New Roman" w:cs="Times New Roman" w:eastAsia="Times New Roman"/>
          <w:b/>
          <w:bCs/>
          <w:sz w:val="22"/>
          <w:szCs w:val="22"/>
        </w:rPr>
        <w:t>’ review process prior to the approval of a state’s m</w:t>
      </w:r>
      <w:r>
        <w:rPr>
          <w:rFonts w:ascii="Times New Roman" w:hAnsi="Times New Roman" w:cs="Times New Roman" w:eastAsia="Times New Roman"/>
          <w:b/>
          <w:bCs/>
          <w:sz w:val="22"/>
          <w:szCs w:val="22"/>
        </w:rPr>
        <w:t>anaged care</w:t>
      </w:r>
      <w:r>
        <w:rPr>
          <w:rFonts w:ascii="Times New Roman" w:hAnsi="Times New Roman" w:cs="Times New Roman" w:eastAsia="Times New Roman"/>
          <w:b/>
          <w:bCs/>
          <w:spacing w:val="-11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/>
          <w:bCs/>
          <w:sz w:val="22"/>
          <w:szCs w:val="22"/>
        </w:rPr>
        <w:t>waiver</w:t>
      </w:r>
      <w:r>
        <w:rPr>
          <w:rFonts w:ascii="Times New Roman" w:hAnsi="Times New Roman" w:cs="Times New Roman" w:eastAsia="Times New Roman"/>
          <w:b/>
          <w:bCs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/>
          <w:bCs/>
          <w:sz w:val="22"/>
          <w:szCs w:val="22"/>
        </w:rPr>
        <w:t>proposal or plan amendment. We furthermore recommend that the state be required</w:t>
      </w:r>
      <w:r>
        <w:rPr>
          <w:rFonts w:ascii="Times New Roman" w:hAnsi="Times New Roman" w:cs="Times New Roman" w:eastAsia="Times New Roman"/>
          <w:b/>
          <w:bCs/>
          <w:spacing w:val="-11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/>
          <w:bCs/>
          <w:sz w:val="22"/>
          <w:szCs w:val="22"/>
        </w:rPr>
        <w:t>to</w:t>
      </w:r>
      <w:r>
        <w:rPr>
          <w:rFonts w:ascii="Times New Roman" w:hAnsi="Times New Roman" w:cs="Times New Roman" w:eastAsia="Times New Roman"/>
          <w:b/>
          <w:bCs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/>
          <w:bCs/>
          <w:sz w:val="22"/>
          <w:szCs w:val="22"/>
        </w:rPr>
        <w:t>articulate distinct time and distance standards for network adequacy for</w:t>
      </w:r>
      <w:r>
        <w:rPr>
          <w:rFonts w:ascii="Times New Roman" w:hAnsi="Times New Roman" w:cs="Times New Roman" w:eastAsia="Times New Roman"/>
          <w:b/>
          <w:bCs/>
          <w:spacing w:val="7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/>
          <w:bCs/>
          <w:sz w:val="22"/>
          <w:szCs w:val="22"/>
        </w:rPr>
        <w:t>different</w:t>
      </w:r>
      <w:r>
        <w:rPr>
          <w:rFonts w:ascii="Times New Roman" w:hAnsi="Times New Roman" w:cs="Times New Roman" w:eastAsia="Times New Roman"/>
          <w:b/>
          <w:bCs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/>
          <w:bCs/>
          <w:sz w:val="22"/>
          <w:szCs w:val="22"/>
        </w:rPr>
        <w:t>categories of LTSS (i.e: attendant care, respite care services, behavioral health,</w:t>
      </w:r>
      <w:r>
        <w:rPr>
          <w:rFonts w:ascii="Times New Roman" w:hAnsi="Times New Roman" w:cs="Times New Roman" w:eastAsia="Times New Roman"/>
          <w:b/>
          <w:bCs/>
          <w:spacing w:val="-1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/>
          <w:bCs/>
          <w:sz w:val="22"/>
          <w:szCs w:val="22"/>
        </w:rPr>
        <w:t>supported</w:t>
      </w:r>
      <w:r>
        <w:rPr>
          <w:rFonts w:ascii="Times New Roman" w:hAnsi="Times New Roman" w:cs="Times New Roman" w:eastAsia="Times New Roman"/>
          <w:b/>
          <w:bCs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/>
          <w:bCs/>
          <w:sz w:val="22"/>
          <w:szCs w:val="22"/>
        </w:rPr>
        <w:t>living, supported employment, etc.). Such requirements should specifically ensure</w:t>
      </w:r>
      <w:r>
        <w:rPr>
          <w:rFonts w:ascii="Times New Roman" w:hAnsi="Times New Roman" w:cs="Times New Roman" w:eastAsia="Times New Roman"/>
          <w:b/>
          <w:bCs/>
          <w:spacing w:val="-14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/>
          <w:bCs/>
          <w:sz w:val="22"/>
          <w:szCs w:val="22"/>
        </w:rPr>
        <w:t>that</w:t>
      </w:r>
      <w:r>
        <w:rPr>
          <w:rFonts w:ascii="Times New Roman" w:hAnsi="Times New Roman" w:cs="Times New Roman" w:eastAsia="Times New Roman"/>
          <w:b/>
          <w:bCs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/>
          <w:bCs/>
          <w:sz w:val="22"/>
          <w:szCs w:val="22"/>
        </w:rPr>
        <w:t>services delivered within the most integrated setting, consistent with the requirements of</w:t>
      </w:r>
      <w:r>
        <w:rPr>
          <w:rFonts w:ascii="Times New Roman" w:hAnsi="Times New Roman" w:cs="Times New Roman" w:eastAsia="Times New Roman"/>
          <w:b/>
          <w:bCs/>
          <w:spacing w:val="-26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/>
          <w:bCs/>
          <w:sz w:val="22"/>
          <w:szCs w:val="22"/>
        </w:rPr>
        <w:t>the</w:t>
      </w:r>
      <w:r>
        <w:rPr>
          <w:rFonts w:ascii="Times New Roman" w:hAnsi="Times New Roman" w:cs="Times New Roman" w:eastAsia="Times New Roman"/>
          <w:b/>
          <w:bCs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/>
          <w:bCs/>
          <w:sz w:val="22"/>
          <w:szCs w:val="22"/>
        </w:rPr>
        <w:t>new HCBS Settings rule, be available within a reasonable distance to all beneficiaries,</w:t>
      </w:r>
      <w:r>
        <w:rPr>
          <w:rFonts w:ascii="Times New Roman" w:hAnsi="Times New Roman" w:cs="Times New Roman" w:eastAsia="Times New Roman"/>
          <w:b/>
          <w:bCs/>
          <w:spacing w:val="-19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/>
          <w:bCs/>
          <w:sz w:val="22"/>
          <w:szCs w:val="22"/>
        </w:rPr>
        <w:t>and</w:t>
      </w:r>
      <w:r>
        <w:rPr>
          <w:rFonts w:ascii="Times New Roman" w:hAnsi="Times New Roman" w:cs="Times New Roman" w:eastAsia="Times New Roman"/>
          <w:b/>
          <w:bCs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/>
          <w:bCs/>
          <w:sz w:val="22"/>
          <w:szCs w:val="22"/>
        </w:rPr>
        <w:t>articulate a series of potential remedies (i.e: rate increases, provider</w:t>
      </w:r>
      <w:r>
        <w:rPr>
          <w:rFonts w:ascii="Times New Roman" w:hAnsi="Times New Roman" w:cs="Times New Roman" w:eastAsia="Times New Roman"/>
          <w:b/>
          <w:bCs/>
          <w:spacing w:val="-4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/>
          <w:bCs/>
          <w:sz w:val="22"/>
          <w:szCs w:val="22"/>
        </w:rPr>
        <w:t>subsidies,</w:t>
      </w:r>
      <w:r>
        <w:rPr>
          <w:rFonts w:ascii="Times New Roman" w:hAnsi="Times New Roman" w:cs="Times New Roman" w:eastAsia="Times New Roman"/>
          <w:b/>
          <w:bCs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/>
          <w:bCs/>
          <w:sz w:val="22"/>
          <w:szCs w:val="22"/>
        </w:rPr>
        <w:t>transportation subsidies, etc.) for failure or inability of an MCO to</w:t>
      </w:r>
      <w:r>
        <w:rPr>
          <w:rFonts w:ascii="Times New Roman" w:hAnsi="Times New Roman" w:cs="Times New Roman" w:eastAsia="Times New Roman"/>
          <w:b/>
          <w:bCs/>
          <w:spacing w:val="-9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/>
          <w:bCs/>
          <w:sz w:val="22"/>
          <w:szCs w:val="22"/>
        </w:rPr>
        <w:t>comply.</w:t>
      </w:r>
      <w:r>
        <w:rPr>
          <w:rFonts w:ascii="Times New Roman" w:hAnsi="Times New Roman" w:cs="Times New Roman" w:eastAsia="Times New Roman"/>
          <w:sz w:val="22"/>
          <w:szCs w:val="22"/>
        </w:rPr>
      </w:r>
    </w:p>
    <w:p>
      <w:pPr>
        <w:pStyle w:val="ListParagraph"/>
        <w:numPr>
          <w:ilvl w:val="0"/>
          <w:numId w:val="2"/>
        </w:numPr>
        <w:tabs>
          <w:tab w:pos="461" w:val="left" w:leader="none"/>
        </w:tabs>
        <w:spacing w:line="276" w:lineRule="auto" w:before="0" w:after="0"/>
        <w:ind w:left="460" w:right="242" w:hanging="36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sz w:val="22"/>
        </w:rPr>
        <w:t>We were similarly pleased to see the requirement for a minimum Medical Loss Ratio. We</w:t>
      </w:r>
      <w:r>
        <w:rPr>
          <w:rFonts w:ascii="Times New Roman"/>
          <w:spacing w:val="-23"/>
          <w:sz w:val="22"/>
        </w:rPr>
        <w:t> </w:t>
      </w:r>
      <w:r>
        <w:rPr>
          <w:rFonts w:ascii="Times New Roman"/>
          <w:sz w:val="22"/>
        </w:rPr>
        <w:t>do,</w:t>
      </w:r>
      <w:r>
        <w:rPr>
          <w:rFonts w:ascii="Times New Roman"/>
          <w:w w:val="100"/>
          <w:sz w:val="22"/>
        </w:rPr>
        <w:t> </w:t>
      </w:r>
      <w:r>
        <w:rPr>
          <w:rFonts w:ascii="Times New Roman"/>
          <w:sz w:val="22"/>
        </w:rPr>
        <w:t>however note, that many MLTSS beneficiaries will require enhanced case management and</w:t>
      </w:r>
      <w:r>
        <w:rPr>
          <w:rFonts w:ascii="Times New Roman"/>
          <w:spacing w:val="-24"/>
          <w:sz w:val="22"/>
        </w:rPr>
        <w:t> </w:t>
      </w:r>
      <w:r>
        <w:rPr>
          <w:rFonts w:ascii="Times New Roman"/>
          <w:sz w:val="22"/>
        </w:rPr>
        <w:t>may</w:t>
      </w:r>
      <w:r>
        <w:rPr>
          <w:rFonts w:ascii="Times New Roman"/>
          <w:w w:val="100"/>
          <w:sz w:val="22"/>
        </w:rPr>
        <w:t> </w:t>
      </w:r>
      <w:r>
        <w:rPr>
          <w:rFonts w:ascii="Times New Roman"/>
          <w:sz w:val="22"/>
        </w:rPr>
        <w:t>benefit from various non-medical goods and services that may enhance their integration into</w:t>
      </w:r>
      <w:r>
        <w:rPr>
          <w:rFonts w:ascii="Times New Roman"/>
          <w:spacing w:val="-21"/>
          <w:sz w:val="22"/>
        </w:rPr>
        <w:t> </w:t>
      </w:r>
      <w:r>
        <w:rPr>
          <w:rFonts w:ascii="Times New Roman"/>
          <w:sz w:val="22"/>
        </w:rPr>
        <w:t>the</w:t>
      </w:r>
      <w:r>
        <w:rPr>
          <w:rFonts w:ascii="Times New Roman"/>
          <w:w w:val="100"/>
          <w:sz w:val="22"/>
        </w:rPr>
        <w:t> </w:t>
      </w:r>
      <w:r>
        <w:rPr>
          <w:rFonts w:ascii="Times New Roman"/>
          <w:sz w:val="22"/>
        </w:rPr>
        <w:t>community. </w:t>
      </w:r>
      <w:r>
        <w:rPr>
          <w:rFonts w:ascii="Times New Roman"/>
          <w:b/>
          <w:sz w:val="22"/>
        </w:rPr>
        <w:t>We recommend that CMS indicate that enhanced case management</w:t>
      </w:r>
      <w:r>
        <w:rPr>
          <w:rFonts w:ascii="Times New Roman"/>
          <w:b/>
          <w:spacing w:val="-12"/>
          <w:sz w:val="22"/>
        </w:rPr>
        <w:t> </w:t>
      </w:r>
      <w:r>
        <w:rPr>
          <w:rFonts w:ascii="Times New Roman"/>
          <w:b/>
          <w:sz w:val="22"/>
        </w:rPr>
        <w:t>for</w:t>
      </w:r>
      <w:r>
        <w:rPr>
          <w:rFonts w:ascii="Times New Roman"/>
          <w:b/>
          <w:w w:val="100"/>
          <w:sz w:val="22"/>
        </w:rPr>
        <w:t> </w:t>
      </w:r>
      <w:r>
        <w:rPr>
          <w:rFonts w:ascii="Times New Roman"/>
          <w:b/>
          <w:sz w:val="22"/>
        </w:rPr>
        <w:t>beneficiaries with higher levels of need will not count against an MCO for the purposes</w:t>
      </w:r>
      <w:r>
        <w:rPr>
          <w:rFonts w:ascii="Times New Roman"/>
          <w:b/>
          <w:spacing w:val="-21"/>
          <w:sz w:val="22"/>
        </w:rPr>
        <w:t> </w:t>
      </w:r>
      <w:r>
        <w:rPr>
          <w:rFonts w:ascii="Times New Roman"/>
          <w:b/>
          <w:sz w:val="22"/>
        </w:rPr>
        <w:t>of</w:t>
      </w:r>
      <w:r>
        <w:rPr>
          <w:rFonts w:ascii="Times New Roman"/>
          <w:b/>
          <w:w w:val="100"/>
          <w:sz w:val="22"/>
        </w:rPr>
        <w:t> </w:t>
      </w:r>
      <w:r>
        <w:rPr>
          <w:rFonts w:ascii="Times New Roman"/>
          <w:b/>
          <w:sz w:val="22"/>
        </w:rPr>
        <w:t>meeting the MLR determination. Furthermore, we recommend that CMS further</w:t>
      </w:r>
      <w:r>
        <w:rPr>
          <w:rFonts w:ascii="Times New Roman"/>
          <w:b/>
          <w:spacing w:val="-19"/>
          <w:sz w:val="22"/>
        </w:rPr>
        <w:t> </w:t>
      </w:r>
      <w:r>
        <w:rPr>
          <w:rFonts w:ascii="Times New Roman"/>
          <w:b/>
          <w:sz w:val="22"/>
        </w:rPr>
        <w:t>clarify,</w:t>
      </w:r>
      <w:r>
        <w:rPr>
          <w:rFonts w:ascii="Times New Roman"/>
          <w:b/>
          <w:w w:val="100"/>
          <w:sz w:val="22"/>
        </w:rPr>
        <w:t> </w:t>
      </w:r>
      <w:r>
        <w:rPr>
          <w:rFonts w:ascii="Times New Roman"/>
          <w:b/>
          <w:sz w:val="22"/>
        </w:rPr>
        <w:t>either through the regulation or through promptly issued sub-regulatory</w:t>
      </w:r>
      <w:r>
        <w:rPr>
          <w:rFonts w:ascii="Times New Roman"/>
          <w:b/>
          <w:spacing w:val="-8"/>
          <w:sz w:val="22"/>
        </w:rPr>
        <w:t> </w:t>
      </w:r>
      <w:r>
        <w:rPr>
          <w:rFonts w:ascii="Times New Roman"/>
          <w:b/>
          <w:sz w:val="22"/>
        </w:rPr>
        <w:t>guidance,</w:t>
      </w:r>
      <w:r>
        <w:rPr>
          <w:rFonts w:ascii="Times New Roman"/>
          <w:b/>
          <w:w w:val="100"/>
          <w:sz w:val="22"/>
        </w:rPr>
        <w:t> </w:t>
      </w:r>
      <w:r>
        <w:rPr>
          <w:rFonts w:ascii="Times New Roman"/>
          <w:b/>
          <w:sz w:val="22"/>
        </w:rPr>
        <w:t>determining whether or not a traditionally non-medical good or service that</w:t>
      </w:r>
      <w:r>
        <w:rPr>
          <w:rFonts w:ascii="Times New Roman"/>
          <w:b/>
          <w:spacing w:val="-9"/>
          <w:sz w:val="22"/>
        </w:rPr>
        <w:t> </w:t>
      </w:r>
      <w:r>
        <w:rPr>
          <w:rFonts w:ascii="Times New Roman"/>
          <w:b/>
          <w:sz w:val="22"/>
        </w:rPr>
        <w:t>enhances</w:t>
      </w:r>
      <w:r>
        <w:rPr>
          <w:rFonts w:ascii="Times New Roman"/>
          <w:b/>
          <w:w w:val="100"/>
          <w:sz w:val="22"/>
        </w:rPr>
        <w:t> </w:t>
      </w:r>
      <w:r>
        <w:rPr>
          <w:rFonts w:ascii="Times New Roman"/>
          <w:b/>
          <w:sz w:val="22"/>
        </w:rPr>
        <w:t>community integration will meet the MLR requirements under the new proposed</w:t>
      </w:r>
      <w:r>
        <w:rPr>
          <w:rFonts w:ascii="Times New Roman"/>
          <w:b/>
          <w:spacing w:val="-18"/>
          <w:sz w:val="22"/>
        </w:rPr>
        <w:t> </w:t>
      </w:r>
      <w:r>
        <w:rPr>
          <w:rFonts w:ascii="Times New Roman"/>
          <w:b/>
          <w:sz w:val="22"/>
        </w:rPr>
        <w:t>medical</w:t>
      </w:r>
      <w:r>
        <w:rPr>
          <w:rFonts w:ascii="Times New Roman"/>
          <w:b/>
          <w:w w:val="100"/>
          <w:sz w:val="22"/>
        </w:rPr>
        <w:t> </w:t>
      </w:r>
      <w:r>
        <w:rPr>
          <w:rFonts w:ascii="Times New Roman"/>
          <w:b/>
          <w:sz w:val="22"/>
        </w:rPr>
        <w:t>necessity</w:t>
      </w:r>
      <w:r>
        <w:rPr>
          <w:rFonts w:ascii="Times New Roman"/>
          <w:b/>
          <w:spacing w:val="-1"/>
          <w:sz w:val="22"/>
        </w:rPr>
        <w:t> </w:t>
      </w:r>
      <w:r>
        <w:rPr>
          <w:rFonts w:ascii="Times New Roman"/>
          <w:b/>
          <w:sz w:val="22"/>
        </w:rPr>
        <w:t>definition.</w:t>
      </w:r>
      <w:r>
        <w:rPr>
          <w:rFonts w:ascii="Times New Roman"/>
          <w:sz w:val="22"/>
        </w:rPr>
      </w:r>
    </w:p>
    <w:p>
      <w:pPr>
        <w:pStyle w:val="Heading1"/>
        <w:numPr>
          <w:ilvl w:val="0"/>
          <w:numId w:val="2"/>
        </w:numPr>
        <w:tabs>
          <w:tab w:pos="461" w:val="left" w:leader="none"/>
        </w:tabs>
        <w:spacing w:line="276" w:lineRule="auto" w:before="0" w:after="0"/>
        <w:ind w:left="460" w:right="233" w:hanging="360"/>
        <w:jc w:val="left"/>
        <w:rPr>
          <w:b w:val="0"/>
          <w:bCs w:val="0"/>
        </w:rPr>
      </w:pPr>
      <w:r>
        <w:rPr/>
        <w:t>We recommend that quality measures must include both measures that can be assessed</w:t>
      </w:r>
      <w:r>
        <w:rPr>
          <w:spacing w:val="-16"/>
        </w:rPr>
        <w:t> </w:t>
      </w:r>
      <w:r>
        <w:rPr/>
        <w:t>via</w:t>
      </w:r>
      <w:r>
        <w:rPr>
          <w:w w:val="100"/>
        </w:rPr>
        <w:t> </w:t>
      </w:r>
      <w:r>
        <w:rPr/>
        <w:t>quantitative analysis of plan data, such as rebalancing measures that reflect shifts</w:t>
      </w:r>
      <w:r>
        <w:rPr>
          <w:spacing w:val="-10"/>
        </w:rPr>
        <w:t> </w:t>
      </w:r>
      <w:r>
        <w:rPr/>
        <w:t>away</w:t>
      </w:r>
      <w:r>
        <w:rPr>
          <w:w w:val="100"/>
        </w:rPr>
        <w:t> </w:t>
      </w:r>
      <w:r>
        <w:rPr/>
        <w:t>from skilled nursing facility utilization or from sheltered workshop towards</w:t>
      </w:r>
      <w:r>
        <w:rPr>
          <w:spacing w:val="-20"/>
        </w:rPr>
        <w:t> </w:t>
      </w:r>
      <w:r>
        <w:rPr/>
        <w:t>competitive,</w:t>
      </w:r>
      <w:r>
        <w:rPr>
          <w:w w:val="100"/>
        </w:rPr>
        <w:t> </w:t>
      </w:r>
      <w:r>
        <w:rPr/>
        <w:t>integrated employment outcomes, and qualitative analysis of beneficiary experience</w:t>
      </w:r>
      <w:r>
        <w:rPr>
          <w:spacing w:val="-15"/>
        </w:rPr>
        <w:t> </w:t>
      </w:r>
      <w:r>
        <w:rPr/>
        <w:t>with</w:t>
      </w:r>
      <w:r>
        <w:rPr>
          <w:b w:val="0"/>
        </w:rPr>
      </w:r>
    </w:p>
    <w:p>
      <w:pPr>
        <w:spacing w:after="0" w:line="276" w:lineRule="auto"/>
        <w:jc w:val="left"/>
        <w:sectPr>
          <w:pgSz w:w="12240" w:h="15840"/>
          <w:pgMar w:top="1400" w:bottom="280" w:left="1700" w:right="1340"/>
        </w:sectPr>
      </w:pPr>
    </w:p>
    <w:p>
      <w:pPr>
        <w:spacing w:line="276" w:lineRule="auto" w:before="58"/>
        <w:ind w:left="820" w:right="11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b/>
          <w:sz w:val="22"/>
        </w:rPr>
        <w:t>LTSS under managed care, such as survey instruments measuring levels of choice,</w:t>
      </w:r>
      <w:r>
        <w:rPr>
          <w:rFonts w:ascii="Times New Roman"/>
          <w:b/>
          <w:spacing w:val="-12"/>
          <w:sz w:val="22"/>
        </w:rPr>
        <w:t> </w:t>
      </w:r>
      <w:r>
        <w:rPr>
          <w:rFonts w:ascii="Times New Roman"/>
          <w:b/>
          <w:sz w:val="22"/>
        </w:rPr>
        <w:t>control,</w:t>
      </w:r>
      <w:r>
        <w:rPr>
          <w:rFonts w:ascii="Times New Roman"/>
          <w:b/>
          <w:w w:val="100"/>
          <w:sz w:val="22"/>
        </w:rPr>
        <w:t> </w:t>
      </w:r>
      <w:r>
        <w:rPr>
          <w:rFonts w:ascii="Times New Roman"/>
          <w:b/>
          <w:sz w:val="22"/>
        </w:rPr>
        <w:t>autonomy, loneliness or other beneficiary-reported</w:t>
      </w:r>
      <w:r>
        <w:rPr>
          <w:rFonts w:ascii="Times New Roman"/>
          <w:b/>
          <w:spacing w:val="-18"/>
          <w:sz w:val="22"/>
        </w:rPr>
        <w:t> </w:t>
      </w:r>
      <w:r>
        <w:rPr>
          <w:rFonts w:ascii="Times New Roman"/>
          <w:b/>
          <w:sz w:val="22"/>
        </w:rPr>
        <w:t>information.</w:t>
      </w:r>
      <w:r>
        <w:rPr>
          <w:rFonts w:ascii="Times New Roman"/>
          <w:sz w:val="22"/>
        </w:rPr>
      </w:r>
    </w:p>
    <w:p>
      <w:pPr>
        <w:pStyle w:val="ListParagraph"/>
        <w:numPr>
          <w:ilvl w:val="1"/>
          <w:numId w:val="2"/>
        </w:numPr>
        <w:tabs>
          <w:tab w:pos="821" w:val="left" w:leader="none"/>
        </w:tabs>
        <w:spacing w:line="273" w:lineRule="auto" w:before="0" w:after="0"/>
        <w:ind w:left="820" w:right="668" w:hanging="36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b/>
          <w:sz w:val="22"/>
        </w:rPr>
        <w:t>We recommend that quality data should be made publicly available, disaggregated</w:t>
      </w:r>
      <w:r>
        <w:rPr>
          <w:rFonts w:ascii="Times New Roman"/>
          <w:b/>
          <w:spacing w:val="-12"/>
          <w:sz w:val="22"/>
        </w:rPr>
        <w:t> </w:t>
      </w:r>
      <w:r>
        <w:rPr>
          <w:rFonts w:ascii="Times New Roman"/>
          <w:b/>
          <w:sz w:val="22"/>
        </w:rPr>
        <w:t>by</w:t>
      </w:r>
      <w:r>
        <w:rPr>
          <w:rFonts w:ascii="Times New Roman"/>
          <w:b/>
          <w:w w:val="100"/>
          <w:sz w:val="22"/>
        </w:rPr>
        <w:t> </w:t>
      </w:r>
      <w:r>
        <w:rPr>
          <w:rFonts w:ascii="Times New Roman"/>
          <w:b/>
          <w:sz w:val="22"/>
        </w:rPr>
        <w:t>population, region and MCO or other managed care plan</w:t>
      </w:r>
      <w:r>
        <w:rPr>
          <w:rFonts w:ascii="Times New Roman"/>
          <w:b/>
          <w:spacing w:val="-7"/>
          <w:sz w:val="22"/>
        </w:rPr>
        <w:t> </w:t>
      </w:r>
      <w:r>
        <w:rPr>
          <w:rFonts w:ascii="Times New Roman"/>
          <w:b/>
          <w:sz w:val="22"/>
        </w:rPr>
        <w:t>provider.</w:t>
      </w:r>
      <w:r>
        <w:rPr>
          <w:rFonts w:ascii="Times New Roman"/>
          <w:sz w:val="22"/>
        </w:rPr>
      </w:r>
    </w:p>
    <w:p>
      <w:pPr>
        <w:pStyle w:val="ListParagraph"/>
        <w:numPr>
          <w:ilvl w:val="1"/>
          <w:numId w:val="2"/>
        </w:numPr>
        <w:tabs>
          <w:tab w:pos="821" w:val="left" w:leader="none"/>
        </w:tabs>
        <w:spacing w:line="276" w:lineRule="auto" w:before="0" w:after="0"/>
        <w:ind w:left="820" w:right="223" w:hanging="36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sz w:val="22"/>
        </w:rPr>
        <w:t>ASAN is pleased to note the requirement that states include re-balancing measures within</w:t>
      </w:r>
      <w:r>
        <w:rPr>
          <w:rFonts w:ascii="Times New Roman"/>
          <w:spacing w:val="-17"/>
          <w:sz w:val="22"/>
        </w:rPr>
        <w:t> </w:t>
      </w:r>
      <w:r>
        <w:rPr>
          <w:rFonts w:ascii="Times New Roman"/>
          <w:sz w:val="22"/>
        </w:rPr>
        <w:t>their</w:t>
      </w:r>
      <w:r>
        <w:rPr>
          <w:rFonts w:ascii="Times New Roman"/>
          <w:w w:val="100"/>
          <w:sz w:val="22"/>
        </w:rPr>
        <w:t> </w:t>
      </w:r>
      <w:r>
        <w:rPr>
          <w:rFonts w:ascii="Times New Roman"/>
          <w:sz w:val="22"/>
        </w:rPr>
        <w:t>quality management systems. However, we note that re-balancing incorporates not only the</w:t>
      </w:r>
      <w:r>
        <w:rPr>
          <w:rFonts w:ascii="Times New Roman"/>
          <w:spacing w:val="-23"/>
          <w:sz w:val="22"/>
        </w:rPr>
        <w:t> </w:t>
      </w:r>
      <w:r>
        <w:rPr>
          <w:rFonts w:ascii="Times New Roman"/>
          <w:sz w:val="22"/>
        </w:rPr>
        <w:t>shift</w:t>
      </w:r>
      <w:r>
        <w:rPr>
          <w:rFonts w:ascii="Times New Roman"/>
          <w:w w:val="100"/>
          <w:sz w:val="22"/>
        </w:rPr>
        <w:t> </w:t>
      </w:r>
      <w:r>
        <w:rPr>
          <w:rFonts w:ascii="Times New Roman"/>
          <w:sz w:val="22"/>
        </w:rPr>
        <w:t>away from Intermediate Care Facilities, Skilled Nurse Facilities and Institutions for</w:t>
      </w:r>
      <w:r>
        <w:rPr>
          <w:rFonts w:ascii="Times New Roman"/>
          <w:spacing w:val="-18"/>
          <w:sz w:val="22"/>
        </w:rPr>
        <w:t> </w:t>
      </w:r>
      <w:r>
        <w:rPr>
          <w:rFonts w:ascii="Times New Roman"/>
          <w:sz w:val="22"/>
        </w:rPr>
        <w:t>Mental</w:t>
      </w:r>
      <w:r>
        <w:rPr>
          <w:rFonts w:ascii="Times New Roman"/>
          <w:w w:val="100"/>
          <w:sz w:val="22"/>
        </w:rPr>
        <w:t> </w:t>
      </w:r>
      <w:r>
        <w:rPr>
          <w:rFonts w:ascii="Times New Roman"/>
          <w:sz w:val="22"/>
        </w:rPr>
        <w:t>Diseases towards HCBS, but also shifts between different types of HCBS. </w:t>
      </w:r>
      <w:r>
        <w:rPr>
          <w:rFonts w:ascii="Times New Roman"/>
          <w:b/>
          <w:sz w:val="22"/>
        </w:rPr>
        <w:t>We</w:t>
      </w:r>
      <w:r>
        <w:rPr>
          <w:rFonts w:ascii="Times New Roman"/>
          <w:b/>
          <w:spacing w:val="-11"/>
          <w:sz w:val="22"/>
        </w:rPr>
        <w:t> </w:t>
      </w:r>
      <w:r>
        <w:rPr>
          <w:rFonts w:ascii="Times New Roman"/>
          <w:b/>
          <w:sz w:val="22"/>
        </w:rPr>
        <w:t>strongly</w:t>
      </w:r>
      <w:r>
        <w:rPr>
          <w:rFonts w:ascii="Times New Roman"/>
          <w:b/>
          <w:w w:val="100"/>
          <w:sz w:val="22"/>
        </w:rPr>
        <w:t> </w:t>
      </w:r>
      <w:r>
        <w:rPr>
          <w:rFonts w:ascii="Times New Roman"/>
          <w:b/>
          <w:sz w:val="22"/>
        </w:rPr>
        <w:t>recommend that required re-balancing measures include not only shifts towards</w:t>
      </w:r>
      <w:r>
        <w:rPr>
          <w:rFonts w:ascii="Times New Roman"/>
          <w:b/>
          <w:spacing w:val="-13"/>
          <w:sz w:val="22"/>
        </w:rPr>
        <w:t> </w:t>
      </w:r>
      <w:r>
        <w:rPr>
          <w:rFonts w:ascii="Times New Roman"/>
          <w:b/>
          <w:sz w:val="22"/>
        </w:rPr>
        <w:t>HCBS</w:t>
      </w:r>
      <w:r>
        <w:rPr>
          <w:rFonts w:ascii="Times New Roman"/>
          <w:b/>
          <w:w w:val="100"/>
          <w:sz w:val="22"/>
        </w:rPr>
        <w:t> </w:t>
      </w:r>
      <w:r>
        <w:rPr>
          <w:rFonts w:ascii="Times New Roman"/>
          <w:b/>
          <w:sz w:val="22"/>
        </w:rPr>
        <w:t>from ICFs/SNFs/IMDs but also shifts towards less restrictive forms of HCBS from</w:t>
      </w:r>
      <w:r>
        <w:rPr>
          <w:rFonts w:ascii="Times New Roman"/>
          <w:b/>
          <w:spacing w:val="-19"/>
          <w:sz w:val="22"/>
        </w:rPr>
        <w:t> </w:t>
      </w:r>
      <w:r>
        <w:rPr>
          <w:rFonts w:ascii="Times New Roman"/>
          <w:b/>
          <w:sz w:val="22"/>
        </w:rPr>
        <w:t>more</w:t>
      </w:r>
      <w:r>
        <w:rPr>
          <w:rFonts w:ascii="Times New Roman"/>
          <w:b/>
          <w:w w:val="100"/>
          <w:sz w:val="22"/>
        </w:rPr>
        <w:t> </w:t>
      </w:r>
      <w:r>
        <w:rPr>
          <w:rFonts w:ascii="Times New Roman"/>
          <w:b/>
          <w:sz w:val="22"/>
        </w:rPr>
        <w:t>restrictive HCBS, consistent with the CMS HCBS Settings rule and the Olmstead</w:t>
      </w:r>
      <w:r>
        <w:rPr>
          <w:rFonts w:ascii="Times New Roman"/>
          <w:b/>
          <w:spacing w:val="-19"/>
          <w:sz w:val="22"/>
        </w:rPr>
        <w:t> </w:t>
      </w:r>
      <w:r>
        <w:rPr>
          <w:rFonts w:ascii="Times New Roman"/>
          <w:b/>
          <w:sz w:val="22"/>
        </w:rPr>
        <w:t>decision.</w:t>
      </w:r>
      <w:r>
        <w:rPr>
          <w:rFonts w:ascii="Times New Roman"/>
          <w:sz w:val="22"/>
        </w:rPr>
      </w:r>
    </w:p>
    <w:p>
      <w:pPr>
        <w:pStyle w:val="ListParagraph"/>
        <w:numPr>
          <w:ilvl w:val="1"/>
          <w:numId w:val="2"/>
        </w:numPr>
        <w:tabs>
          <w:tab w:pos="821" w:val="left" w:leader="none"/>
        </w:tabs>
        <w:spacing w:line="276" w:lineRule="auto" w:before="0" w:after="0"/>
        <w:ind w:left="820" w:right="110" w:hanging="36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 w:cs="Times New Roman" w:eastAsia="Times New Roman"/>
          <w:sz w:val="22"/>
          <w:szCs w:val="22"/>
        </w:rPr>
        <w:t>The rule requires managed care companies to use performance measures, monitor the quality</w:t>
      </w:r>
      <w:r>
        <w:rPr>
          <w:rFonts w:ascii="Times New Roman" w:hAnsi="Times New Roman" w:cs="Times New Roman" w:eastAsia="Times New Roman"/>
          <w:spacing w:val="-26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z w:val="22"/>
          <w:szCs w:val="22"/>
        </w:rPr>
        <w:t>of</w:t>
      </w:r>
      <w:r>
        <w:rPr>
          <w:rFonts w:ascii="Times New Roman" w:hAnsi="Times New Roman" w:cs="Times New Roman" w:eastAsia="Times New Roman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z w:val="22"/>
          <w:szCs w:val="22"/>
        </w:rPr>
        <w:t>their long-term services and supports, and states that quality measures must include an effort</w:t>
      </w:r>
      <w:r>
        <w:rPr>
          <w:rFonts w:ascii="Times New Roman" w:hAnsi="Times New Roman" w:cs="Times New Roman" w:eastAsia="Times New Roman"/>
          <w:spacing w:val="-26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z w:val="22"/>
          <w:szCs w:val="22"/>
        </w:rPr>
        <w:t>to</w:t>
      </w:r>
      <w:r>
        <w:rPr>
          <w:rFonts w:ascii="Times New Roman" w:hAnsi="Times New Roman" w:cs="Times New Roman" w:eastAsia="Times New Roman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z w:val="22"/>
          <w:szCs w:val="22"/>
        </w:rPr>
        <w:t>“rebalance” to</w:t>
      </w:r>
      <w:r>
        <w:rPr>
          <w:rFonts w:ascii="Times New Roman" w:hAnsi="Times New Roman" w:cs="Times New Roman" w:eastAsia="Times New Roman"/>
          <w:sz w:val="22"/>
          <w:szCs w:val="22"/>
        </w:rPr>
        <w:t>ward community integration. Ratings are based on indicators that are used</w:t>
      </w:r>
      <w:r>
        <w:rPr>
          <w:rFonts w:ascii="Times New Roman" w:hAnsi="Times New Roman" w:cs="Times New Roman" w:eastAsia="Times New Roman"/>
          <w:spacing w:val="-17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z w:val="22"/>
          <w:szCs w:val="22"/>
        </w:rPr>
        <w:t>in</w:t>
      </w:r>
      <w:r>
        <w:rPr>
          <w:rFonts w:ascii="Times New Roman" w:hAnsi="Times New Roman" w:cs="Times New Roman" w:eastAsia="Times New Roman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z w:val="22"/>
          <w:szCs w:val="22"/>
        </w:rPr>
        <w:t>medical care and do not outline specifics for long-term services and supports. Long-term</w:t>
      </w:r>
      <w:r>
        <w:rPr>
          <w:rFonts w:ascii="Times New Roman" w:hAnsi="Times New Roman" w:cs="Times New Roman" w:eastAsia="Times New Roman"/>
          <w:spacing w:val="-23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z w:val="22"/>
          <w:szCs w:val="22"/>
        </w:rPr>
        <w:t>services</w:t>
      </w:r>
      <w:r>
        <w:rPr>
          <w:rFonts w:ascii="Times New Roman" w:hAnsi="Times New Roman" w:cs="Times New Roman" w:eastAsia="Times New Roman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z w:val="22"/>
          <w:szCs w:val="22"/>
        </w:rPr>
        <w:t>and supports are very different from medical care supports. Many HMOs or MCOs</w:t>
      </w:r>
      <w:r>
        <w:rPr>
          <w:rFonts w:ascii="Times New Roman" w:hAnsi="Times New Roman" w:cs="Times New Roman" w:eastAsia="Times New Roman"/>
          <w:spacing w:val="-15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z w:val="22"/>
          <w:szCs w:val="22"/>
        </w:rPr>
        <w:t>lack</w:t>
      </w:r>
      <w:r>
        <w:rPr>
          <w:rFonts w:ascii="Times New Roman" w:hAnsi="Times New Roman" w:cs="Times New Roman" w:eastAsia="Times New Roman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z w:val="22"/>
          <w:szCs w:val="22"/>
        </w:rPr>
        <w:t>experience serving people with more complex needs and those who self-direct their services.</w:t>
      </w:r>
      <w:r>
        <w:rPr>
          <w:rFonts w:ascii="Times New Roman" w:hAnsi="Times New Roman" w:cs="Times New Roman" w:eastAsia="Times New Roman"/>
          <w:spacing w:val="-25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z w:val="22"/>
          <w:szCs w:val="22"/>
        </w:rPr>
        <w:t>The</w:t>
      </w:r>
      <w:r>
        <w:rPr>
          <w:rFonts w:ascii="Times New Roman" w:hAnsi="Times New Roman" w:cs="Times New Roman" w:eastAsia="Times New Roman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z w:val="22"/>
          <w:szCs w:val="22"/>
        </w:rPr>
        <w:t>rule does not specify any separate ranking system specific to long term services and supports.</w:t>
      </w:r>
      <w:r>
        <w:rPr>
          <w:rFonts w:ascii="Times New Roman" w:hAnsi="Times New Roman" w:cs="Times New Roman" w:eastAsia="Times New Roman"/>
          <w:spacing w:val="-21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/>
          <w:bCs/>
          <w:sz w:val="22"/>
          <w:szCs w:val="22"/>
        </w:rPr>
        <w:t>We</w:t>
      </w:r>
      <w:r>
        <w:rPr>
          <w:rFonts w:ascii="Times New Roman" w:hAnsi="Times New Roman" w:cs="Times New Roman" w:eastAsia="Times New Roman"/>
          <w:b/>
          <w:bCs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/>
          <w:bCs/>
          <w:sz w:val="22"/>
          <w:szCs w:val="22"/>
        </w:rPr>
        <w:t>recommend that the rule include a LTSS ranking system, incorporating requirements</w:t>
      </w:r>
      <w:r>
        <w:rPr>
          <w:rFonts w:ascii="Times New Roman" w:hAnsi="Times New Roman" w:cs="Times New Roman" w:eastAsia="Times New Roman"/>
          <w:b/>
          <w:bCs/>
          <w:spacing w:val="-18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/>
          <w:bCs/>
          <w:sz w:val="22"/>
          <w:szCs w:val="22"/>
        </w:rPr>
        <w:t>from</w:t>
      </w:r>
      <w:r>
        <w:rPr>
          <w:rFonts w:ascii="Times New Roman" w:hAnsi="Times New Roman" w:cs="Times New Roman" w:eastAsia="Times New Roman"/>
          <w:b/>
          <w:bCs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/>
          <w:bCs/>
          <w:sz w:val="22"/>
          <w:szCs w:val="22"/>
        </w:rPr>
        <w:t>nationally established data sets such as the National Core Indicators</w:t>
      </w:r>
      <w:r>
        <w:rPr>
          <w:rFonts w:ascii="Times New Roman" w:hAnsi="Times New Roman" w:cs="Times New Roman" w:eastAsia="Times New Roman"/>
          <w:b/>
          <w:bCs/>
          <w:spacing w:val="-12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/>
          <w:bCs/>
          <w:sz w:val="22"/>
          <w:szCs w:val="22"/>
        </w:rPr>
        <w:t>project.</w:t>
      </w:r>
      <w:r>
        <w:rPr>
          <w:rFonts w:ascii="Times New Roman" w:hAnsi="Times New Roman" w:cs="Times New Roman" w:eastAsia="Times New Roman"/>
          <w:sz w:val="22"/>
          <w:szCs w:val="22"/>
        </w:rPr>
      </w:r>
    </w:p>
    <w:p>
      <w:pPr>
        <w:pStyle w:val="ListParagraph"/>
        <w:numPr>
          <w:ilvl w:val="1"/>
          <w:numId w:val="2"/>
        </w:numPr>
        <w:tabs>
          <w:tab w:pos="821" w:val="left" w:leader="none"/>
        </w:tabs>
        <w:spacing w:line="276" w:lineRule="auto" w:before="0" w:after="0"/>
        <w:ind w:left="820" w:right="110" w:hanging="36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sz w:val="22"/>
        </w:rPr>
        <w:t>One of the most concerning trends ASAN has discovered in our review of state managed</w:t>
      </w:r>
      <w:r>
        <w:rPr>
          <w:rFonts w:ascii="Times New Roman"/>
          <w:spacing w:val="-18"/>
          <w:sz w:val="22"/>
        </w:rPr>
        <w:t> </w:t>
      </w:r>
      <w:r>
        <w:rPr>
          <w:rFonts w:ascii="Times New Roman"/>
          <w:sz w:val="22"/>
        </w:rPr>
        <w:t>care</w:t>
      </w:r>
      <w:r>
        <w:rPr>
          <w:rFonts w:ascii="Times New Roman"/>
          <w:w w:val="100"/>
          <w:sz w:val="22"/>
        </w:rPr>
        <w:t> </w:t>
      </w:r>
      <w:r>
        <w:rPr>
          <w:rFonts w:ascii="Times New Roman"/>
          <w:sz w:val="22"/>
        </w:rPr>
        <w:t>frameworks has been states which shift home and community based services for a population</w:t>
      </w:r>
      <w:r>
        <w:rPr>
          <w:rFonts w:ascii="Times New Roman"/>
          <w:spacing w:val="-24"/>
          <w:sz w:val="22"/>
        </w:rPr>
        <w:t> </w:t>
      </w:r>
      <w:r>
        <w:rPr>
          <w:rFonts w:ascii="Times New Roman"/>
          <w:sz w:val="22"/>
        </w:rPr>
        <w:t>into</w:t>
      </w:r>
      <w:r>
        <w:rPr>
          <w:rFonts w:ascii="Times New Roman"/>
          <w:w w:val="100"/>
          <w:sz w:val="22"/>
        </w:rPr>
        <w:t> </w:t>
      </w:r>
      <w:r>
        <w:rPr>
          <w:rFonts w:ascii="Times New Roman"/>
          <w:sz w:val="22"/>
        </w:rPr>
        <w:t>managed care while maintaining the corresponding institutional benefit in fee for</w:t>
      </w:r>
      <w:r>
        <w:rPr>
          <w:rFonts w:ascii="Times New Roman"/>
          <w:spacing w:val="-17"/>
          <w:sz w:val="22"/>
        </w:rPr>
        <w:t> </w:t>
      </w:r>
      <w:r>
        <w:rPr>
          <w:rFonts w:ascii="Times New Roman"/>
          <w:sz w:val="22"/>
        </w:rPr>
        <w:t>service</w:t>
      </w:r>
      <w:r>
        <w:rPr>
          <w:rFonts w:ascii="Times New Roman"/>
          <w:w w:val="100"/>
          <w:sz w:val="22"/>
        </w:rPr>
        <w:t> </w:t>
      </w:r>
      <w:r>
        <w:rPr>
          <w:rFonts w:ascii="Times New Roman"/>
          <w:sz w:val="22"/>
        </w:rPr>
        <w:t>Medicaid. Such an approach creates deeply perverse incentives for MCOs, which may</w:t>
      </w:r>
      <w:r>
        <w:rPr>
          <w:rFonts w:ascii="Times New Roman"/>
          <w:spacing w:val="-25"/>
          <w:sz w:val="22"/>
        </w:rPr>
        <w:t> </w:t>
      </w:r>
      <w:r>
        <w:rPr>
          <w:rFonts w:ascii="Times New Roman"/>
          <w:sz w:val="22"/>
        </w:rPr>
        <w:t>financially</w:t>
      </w:r>
      <w:r>
        <w:rPr>
          <w:rFonts w:ascii="Times New Roman"/>
          <w:w w:val="100"/>
          <w:sz w:val="22"/>
        </w:rPr>
        <w:t> </w:t>
      </w:r>
      <w:r>
        <w:rPr>
          <w:rFonts w:ascii="Times New Roman"/>
          <w:sz w:val="22"/>
        </w:rPr>
        <w:t>benefit by shifting high-cost individuals out of their risk pool and into institutional settings.</w:t>
      </w:r>
      <w:r>
        <w:rPr>
          <w:rFonts w:ascii="Times New Roman"/>
          <w:spacing w:val="-28"/>
          <w:sz w:val="22"/>
        </w:rPr>
        <w:t> </w:t>
      </w:r>
      <w:r>
        <w:rPr>
          <w:rFonts w:ascii="Times New Roman"/>
          <w:b/>
          <w:sz w:val="22"/>
        </w:rPr>
        <w:t>We</w:t>
      </w:r>
      <w:r>
        <w:rPr>
          <w:rFonts w:ascii="Times New Roman"/>
          <w:b/>
          <w:w w:val="100"/>
          <w:sz w:val="22"/>
        </w:rPr>
        <w:t> </w:t>
      </w:r>
      <w:r>
        <w:rPr>
          <w:rFonts w:ascii="Times New Roman"/>
          <w:b/>
          <w:sz w:val="22"/>
        </w:rPr>
        <w:t>recommend that states planning to enroll Medicaid recipients in managed</w:t>
      </w:r>
      <w:r>
        <w:rPr>
          <w:rFonts w:ascii="Times New Roman"/>
          <w:b/>
          <w:spacing w:val="-12"/>
          <w:sz w:val="22"/>
        </w:rPr>
        <w:t> </w:t>
      </w:r>
      <w:r>
        <w:rPr>
          <w:rFonts w:ascii="Times New Roman"/>
          <w:b/>
          <w:sz w:val="22"/>
        </w:rPr>
        <w:t>long-term</w:t>
      </w:r>
      <w:r>
        <w:rPr>
          <w:rFonts w:ascii="Times New Roman"/>
          <w:b/>
          <w:w w:val="100"/>
          <w:sz w:val="22"/>
        </w:rPr>
        <w:t> </w:t>
      </w:r>
      <w:r>
        <w:rPr>
          <w:rFonts w:ascii="Times New Roman"/>
          <w:b/>
          <w:sz w:val="22"/>
        </w:rPr>
        <w:t>services and supports plans should be required by the Centers for Medicare and</w:t>
      </w:r>
      <w:r>
        <w:rPr>
          <w:rFonts w:ascii="Times New Roman"/>
          <w:b/>
          <w:spacing w:val="-12"/>
          <w:sz w:val="22"/>
        </w:rPr>
        <w:t> </w:t>
      </w:r>
      <w:r>
        <w:rPr>
          <w:rFonts w:ascii="Times New Roman"/>
          <w:b/>
          <w:sz w:val="22"/>
        </w:rPr>
        <w:t>Medicaid</w:t>
      </w:r>
      <w:r>
        <w:rPr>
          <w:rFonts w:ascii="Times New Roman"/>
          <w:b/>
          <w:w w:val="100"/>
          <w:sz w:val="22"/>
        </w:rPr>
        <w:t> </w:t>
      </w:r>
      <w:r>
        <w:rPr>
          <w:rFonts w:ascii="Times New Roman"/>
          <w:b/>
          <w:sz w:val="22"/>
        </w:rPr>
        <w:t>Services (CMS) to cover both institutional and home and community-based services</w:t>
      </w:r>
      <w:r>
        <w:rPr>
          <w:rFonts w:ascii="Times New Roman"/>
          <w:b/>
          <w:spacing w:val="-15"/>
          <w:sz w:val="22"/>
        </w:rPr>
        <w:t> </w:t>
      </w:r>
      <w:r>
        <w:rPr>
          <w:rFonts w:ascii="Times New Roman"/>
          <w:b/>
          <w:sz w:val="22"/>
        </w:rPr>
        <w:t>and</w:t>
      </w:r>
      <w:r>
        <w:rPr>
          <w:rFonts w:ascii="Times New Roman"/>
          <w:b/>
          <w:w w:val="100"/>
          <w:sz w:val="22"/>
        </w:rPr>
        <w:t> </w:t>
      </w:r>
      <w:r>
        <w:rPr>
          <w:rFonts w:ascii="Times New Roman"/>
          <w:b/>
          <w:sz w:val="22"/>
        </w:rPr>
        <w:t>supports under their respective</w:t>
      </w:r>
      <w:r>
        <w:rPr>
          <w:rFonts w:ascii="Times New Roman"/>
          <w:b/>
          <w:spacing w:val="-4"/>
          <w:sz w:val="22"/>
        </w:rPr>
        <w:t> </w:t>
      </w:r>
      <w:r>
        <w:rPr>
          <w:rFonts w:ascii="Times New Roman"/>
          <w:b/>
          <w:sz w:val="22"/>
        </w:rPr>
        <w:t>plans.</w:t>
      </w:r>
      <w:r>
        <w:rPr>
          <w:rFonts w:ascii="Times New Roman"/>
          <w:sz w:val="22"/>
        </w:rPr>
      </w:r>
    </w:p>
    <w:p>
      <w:pPr>
        <w:pStyle w:val="ListParagraph"/>
        <w:numPr>
          <w:ilvl w:val="1"/>
          <w:numId w:val="2"/>
        </w:numPr>
        <w:tabs>
          <w:tab w:pos="821" w:val="left" w:leader="none"/>
        </w:tabs>
        <w:spacing w:line="276" w:lineRule="auto" w:before="0" w:after="0"/>
        <w:ind w:left="820" w:right="98" w:hanging="36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 w:cs="Times New Roman" w:eastAsia="Times New Roman"/>
          <w:sz w:val="22"/>
          <w:szCs w:val="22"/>
        </w:rPr>
        <w:t>A consistent source of concern regarding managed care transitions that has emerged repeatedly</w:t>
      </w:r>
      <w:r>
        <w:rPr>
          <w:rFonts w:ascii="Times New Roman" w:hAnsi="Times New Roman" w:cs="Times New Roman" w:eastAsia="Times New Roman"/>
          <w:spacing w:val="-21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z w:val="22"/>
          <w:szCs w:val="22"/>
        </w:rPr>
        <w:t>in</w:t>
      </w:r>
      <w:r>
        <w:rPr>
          <w:rFonts w:ascii="Times New Roman" w:hAnsi="Times New Roman" w:cs="Times New Roman" w:eastAsia="Times New Roman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z w:val="22"/>
          <w:szCs w:val="22"/>
        </w:rPr>
        <w:t>ASAN</w:t>
      </w:r>
      <w:r>
        <w:rPr>
          <w:rFonts w:ascii="Times New Roman" w:hAnsi="Times New Roman" w:cs="Times New Roman" w:eastAsia="Times New Roman"/>
          <w:sz w:val="22"/>
          <w:szCs w:val="22"/>
        </w:rPr>
        <w:t>’</w:t>
      </w:r>
      <w:r>
        <w:rPr>
          <w:rFonts w:ascii="Times New Roman" w:hAnsi="Times New Roman" w:cs="Times New Roman" w:eastAsia="Times New Roman"/>
          <w:sz w:val="22"/>
          <w:szCs w:val="22"/>
        </w:rPr>
        <w:t>s stakeholder engagement is late and bureaucratic payment structures placing the</w:t>
      </w:r>
      <w:r>
        <w:rPr>
          <w:rFonts w:ascii="Times New Roman" w:hAnsi="Times New Roman" w:cs="Times New Roman" w:eastAsia="Times New Roman"/>
          <w:spacing w:val="-23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z w:val="22"/>
          <w:szCs w:val="22"/>
        </w:rPr>
        <w:t>financial</w:t>
      </w:r>
      <w:r>
        <w:rPr>
          <w:rFonts w:ascii="Times New Roman" w:hAnsi="Times New Roman" w:cs="Times New Roman" w:eastAsia="Times New Roman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z w:val="22"/>
          <w:szCs w:val="22"/>
        </w:rPr>
        <w:t>solvency of small LTSS providers at risk. </w:t>
      </w:r>
      <w:r>
        <w:rPr>
          <w:rFonts w:ascii="Times New Roman" w:hAnsi="Times New Roman" w:cs="Times New Roman" w:eastAsia="Times New Roman"/>
          <w:b/>
          <w:bCs/>
          <w:sz w:val="22"/>
          <w:szCs w:val="22"/>
        </w:rPr>
        <w:t>We recommend that CMS require managed</w:t>
      </w:r>
      <w:r>
        <w:rPr>
          <w:rFonts w:ascii="Times New Roman" w:hAnsi="Times New Roman" w:cs="Times New Roman" w:eastAsia="Times New Roman"/>
          <w:b/>
          <w:bCs/>
          <w:spacing w:val="-16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/>
          <w:bCs/>
          <w:sz w:val="22"/>
          <w:szCs w:val="22"/>
        </w:rPr>
        <w:t>care</w:t>
      </w:r>
      <w:r>
        <w:rPr>
          <w:rFonts w:ascii="Times New Roman" w:hAnsi="Times New Roman" w:cs="Times New Roman" w:eastAsia="Times New Roman"/>
          <w:b/>
          <w:bCs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/>
          <w:bCs/>
          <w:sz w:val="22"/>
          <w:szCs w:val="22"/>
        </w:rPr>
        <w:t>contracts to include minimum interest payments owed for payments transmitted later</w:t>
      </w:r>
      <w:r>
        <w:rPr>
          <w:rFonts w:ascii="Times New Roman" w:hAnsi="Times New Roman" w:cs="Times New Roman" w:eastAsia="Times New Roman"/>
          <w:b/>
          <w:bCs/>
          <w:spacing w:val="-17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/>
          <w:bCs/>
          <w:sz w:val="22"/>
          <w:szCs w:val="22"/>
        </w:rPr>
        <w:t>than</w:t>
      </w:r>
      <w:r>
        <w:rPr>
          <w:rFonts w:ascii="Times New Roman" w:hAnsi="Times New Roman" w:cs="Times New Roman" w:eastAsia="Times New Roman"/>
          <w:b/>
          <w:bCs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/>
          <w:bCs/>
          <w:sz w:val="22"/>
          <w:szCs w:val="22"/>
        </w:rPr>
        <w:t>60 days after the submission of a properly filed invoice to an MCO. We also</w:t>
      </w:r>
      <w:r>
        <w:rPr>
          <w:rFonts w:ascii="Times New Roman" w:hAnsi="Times New Roman" w:cs="Times New Roman" w:eastAsia="Times New Roman"/>
          <w:b/>
          <w:bCs/>
          <w:spacing w:val="-7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/>
          <w:bCs/>
          <w:sz w:val="22"/>
          <w:szCs w:val="22"/>
        </w:rPr>
        <w:t>recommend</w:t>
      </w:r>
      <w:r>
        <w:rPr>
          <w:rFonts w:ascii="Times New Roman" w:hAnsi="Times New Roman" w:cs="Times New Roman" w:eastAsia="Times New Roman"/>
          <w:b/>
          <w:bCs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/>
          <w:bCs/>
          <w:sz w:val="22"/>
          <w:szCs w:val="22"/>
        </w:rPr>
        <w:t>that CMS require that states establish a unified, common billing infrastructure and</w:t>
      </w:r>
      <w:r>
        <w:rPr>
          <w:rFonts w:ascii="Times New Roman" w:hAnsi="Times New Roman" w:cs="Times New Roman" w:eastAsia="Times New Roman"/>
          <w:b/>
          <w:bCs/>
          <w:spacing w:val="-19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/>
          <w:bCs/>
          <w:sz w:val="22"/>
          <w:szCs w:val="22"/>
        </w:rPr>
        <w:t>format</w:t>
      </w:r>
      <w:r>
        <w:rPr>
          <w:rFonts w:ascii="Times New Roman" w:hAnsi="Times New Roman" w:cs="Times New Roman" w:eastAsia="Times New Roman"/>
          <w:b/>
          <w:bCs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/>
          <w:bCs/>
          <w:sz w:val="22"/>
          <w:szCs w:val="22"/>
        </w:rPr>
        <w:t>for MCOs so as to minimize the administrative burden on small LTSS providers and</w:t>
      </w:r>
      <w:r>
        <w:rPr>
          <w:rFonts w:ascii="Times New Roman" w:hAnsi="Times New Roman" w:cs="Times New Roman" w:eastAsia="Times New Roman"/>
          <w:b/>
          <w:bCs/>
          <w:spacing w:val="-15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/>
          <w:bCs/>
          <w:sz w:val="22"/>
          <w:szCs w:val="22"/>
        </w:rPr>
        <w:t>ensure</w:t>
      </w:r>
      <w:r>
        <w:rPr>
          <w:rFonts w:ascii="Times New Roman" w:hAnsi="Times New Roman" w:cs="Times New Roman" w:eastAsia="Times New Roman"/>
          <w:b/>
          <w:bCs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/>
          <w:bCs/>
          <w:sz w:val="22"/>
          <w:szCs w:val="22"/>
        </w:rPr>
        <w:t>that the transition to managed care does not adversely impact provider network</w:t>
      </w:r>
      <w:r>
        <w:rPr>
          <w:rFonts w:ascii="Times New Roman" w:hAnsi="Times New Roman" w:cs="Times New Roman" w:eastAsia="Times New Roman"/>
          <w:b/>
          <w:bCs/>
          <w:spacing w:val="-21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/>
          <w:bCs/>
          <w:sz w:val="22"/>
          <w:szCs w:val="22"/>
        </w:rPr>
        <w:t>adequacy.</w:t>
      </w:r>
      <w:r>
        <w:rPr>
          <w:rFonts w:ascii="Times New Roman" w:hAnsi="Times New Roman" w:cs="Times New Roman" w:eastAsia="Times New Roman"/>
          <w:sz w:val="22"/>
          <w:szCs w:val="22"/>
        </w:rPr>
      </w:r>
    </w:p>
    <w:p>
      <w:pPr>
        <w:pStyle w:val="BodyText"/>
        <w:spacing w:line="276" w:lineRule="auto" w:before="195"/>
        <w:ind w:left="100" w:right="110" w:firstLine="0"/>
        <w:jc w:val="left"/>
      </w:pPr>
      <w:r>
        <w:rPr/>
        <w:t>We stand ready to assist CMS further in its deliberations at your request. If you would like to</w:t>
      </w:r>
      <w:r>
        <w:rPr>
          <w:spacing w:val="-24"/>
        </w:rPr>
        <w:t> </w:t>
      </w:r>
      <w:r>
        <w:rPr/>
        <w:t>pursue</w:t>
      </w:r>
      <w:r>
        <w:rPr>
          <w:w w:val="100"/>
        </w:rPr>
        <w:t> </w:t>
      </w:r>
      <w:r>
        <w:rPr/>
        <w:t>further communications on this topic, please contact ASAN</w:t>
      </w:r>
      <w:r>
        <w:rPr>
          <w:rFonts w:ascii="Times New Roman" w:hAnsi="Times New Roman" w:cs="Times New Roman" w:eastAsia="Times New Roman"/>
        </w:rPr>
        <w:t>’</w:t>
      </w:r>
      <w:r>
        <w:rPr/>
        <w:t>s </w:t>
      </w:r>
      <w:r>
        <w:rPr>
          <w:color w:val="212121"/>
        </w:rPr>
        <w:t>Director of Public Policy, Samantha</w:t>
      </w:r>
      <w:r>
        <w:rPr>
          <w:color w:val="212121"/>
          <w:spacing w:val="-30"/>
        </w:rPr>
        <w:t> </w:t>
      </w:r>
      <w:r>
        <w:rPr>
          <w:color w:val="212121"/>
        </w:rPr>
        <w:t>Crane,</w:t>
      </w:r>
      <w:r>
        <w:rPr>
          <w:color w:val="212121"/>
          <w:w w:val="100"/>
        </w:rPr>
        <w:t> </w:t>
      </w:r>
      <w:r>
        <w:rPr>
          <w:color w:val="212121"/>
        </w:rPr>
        <w:t>at</w:t>
      </w:r>
      <w:r>
        <w:rPr>
          <w:color w:val="212121"/>
          <w:spacing w:val="-9"/>
        </w:rPr>
        <w:t> </w:t>
      </w:r>
      <w:r>
        <w:rPr>
          <w:color w:val="0000FF"/>
          <w:spacing w:val="-9"/>
        </w:rPr>
      </w:r>
      <w:hyperlink r:id="rId5">
        <w:r>
          <w:rPr>
            <w:color w:val="0000FF"/>
            <w:u w:val="single" w:color="0000FF"/>
          </w:rPr>
          <w:t>scrane@autisticadvocacy.org</w:t>
        </w:r>
        <w:r>
          <w:rPr>
            <w:color w:val="0000FF"/>
          </w:rPr>
        </w:r>
        <w:r>
          <w:rPr>
            <w:color w:val="212121"/>
          </w:rPr>
          <w:t>.</w:t>
        </w:r>
        <w:r>
          <w:rPr/>
        </w:r>
      </w:hyperlink>
    </w:p>
    <w:sectPr>
      <w:pgSz w:w="12240" w:h="15840"/>
      <w:pgMar w:top="1380" w:bottom="280" w:left="1340" w:right="1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Symbol">
    <w:altName w:val="Symbol"/>
    <w:charset w:val="2"/>
    <w:family w:val="roman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">
    <w:multiLevelType w:val="hybridMultilevel"/>
    <w:lvl w:ilvl="0">
      <w:start w:val="1"/>
      <w:numFmt w:val="bullet"/>
      <w:lvlText w:val=""/>
      <w:lvlJc w:val="left"/>
      <w:pPr>
        <w:ind w:left="460" w:hanging="360"/>
      </w:pPr>
      <w:rPr>
        <w:rFonts w:hint="default" w:ascii="Symbol" w:hAnsi="Symbol" w:eastAsia="Symbol"/>
        <w:w w:val="100"/>
        <w:sz w:val="22"/>
        <w:szCs w:val="22"/>
      </w:rPr>
    </w:lvl>
    <w:lvl w:ilvl="1">
      <w:start w:val="1"/>
      <w:numFmt w:val="bullet"/>
      <w:lvlText w:val=""/>
      <w:lvlJc w:val="left"/>
      <w:pPr>
        <w:ind w:left="820" w:hanging="360"/>
      </w:pPr>
      <w:rPr>
        <w:rFonts w:hint="default" w:ascii="Symbol" w:hAnsi="Symbol" w:eastAsia="Symbol"/>
        <w:w w:val="100"/>
        <w:sz w:val="22"/>
        <w:szCs w:val="22"/>
      </w:rPr>
    </w:lvl>
    <w:lvl w:ilvl="2">
      <w:start w:val="1"/>
      <w:numFmt w:val="bullet"/>
      <w:lvlText w:val="•"/>
      <w:lvlJc w:val="left"/>
      <w:pPr>
        <w:ind w:left="1748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677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606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535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464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393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322" w:hanging="360"/>
      </w:pPr>
      <w:rPr>
        <w:rFonts w:hint="default"/>
      </w:rPr>
    </w:lvl>
  </w:abstractNum>
  <w:abstractNum w:abstractNumId="0">
    <w:multiLevelType w:val="hybridMultilevel"/>
    <w:lvl w:ilvl="0">
      <w:start w:val="1"/>
      <w:numFmt w:val="bullet"/>
      <w:lvlText w:val=""/>
      <w:lvlJc w:val="left"/>
      <w:pPr>
        <w:ind w:left="820" w:hanging="360"/>
      </w:pPr>
      <w:rPr>
        <w:rFonts w:hint="default" w:ascii="Symbol" w:hAnsi="Symbol" w:eastAsia="Symbol"/>
        <w:w w:val="100"/>
        <w:sz w:val="22"/>
        <w:szCs w:val="22"/>
      </w:rPr>
    </w:lvl>
    <w:lvl w:ilvl="1">
      <w:start w:val="1"/>
      <w:numFmt w:val="bullet"/>
      <w:lvlText w:val="•"/>
      <w:lvlJc w:val="left"/>
      <w:pPr>
        <w:ind w:left="1694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568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42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16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90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64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38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12" w:hanging="360"/>
      </w:pPr>
      <w:rPr>
        <w:rFonts w:hint="default"/>
      </w:rPr>
    </w:lvl>
  </w:abstract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820" w:hanging="360"/>
    </w:pPr>
    <w:rPr>
      <w:rFonts w:ascii="Times New Roman" w:hAnsi="Times New Roman" w:eastAsia="Times New Roman"/>
      <w:sz w:val="22"/>
      <w:szCs w:val="22"/>
    </w:rPr>
  </w:style>
  <w:style w:styleId="Heading1" w:type="paragraph">
    <w:name w:val="Heading 1"/>
    <w:basedOn w:val="Normal"/>
    <w:uiPriority w:val="1"/>
    <w:qFormat/>
    <w:pPr>
      <w:ind w:left="460" w:hanging="360"/>
      <w:outlineLvl w:val="1"/>
    </w:pPr>
    <w:rPr>
      <w:rFonts w:ascii="Times New Roman" w:hAnsi="Times New Roman" w:eastAsia="Times New Roman"/>
      <w:b/>
      <w:bCs/>
      <w:sz w:val="22"/>
      <w:szCs w:val="22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yperlink" Target="mailto:scrane@autisticadvocacy.org" TargetMode="External"/><Relationship Id="rId6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aneeman</dc:creator>
  <dcterms:created xsi:type="dcterms:W3CDTF">2015-07-28T11:57:52Z</dcterms:created>
  <dcterms:modified xsi:type="dcterms:W3CDTF">2015-07-28T11:57:52Z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2015-07-27T00:00:00Z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2015-07-28T00:00:00Z</vt:filetime>
  </property>
</Properties>
</file>