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4"/>
        <w:ind w:left="100" w:right="121" w:firstLine="0"/>
        <w:jc w:val="left"/>
      </w:pPr>
      <w:r>
        <w:rPr/>
        <w:t>On behalf of the Autistic Self Advocacy Network, I write to comment on the Medicaid and</w:t>
      </w:r>
      <w:r>
        <w:rPr>
          <w:spacing w:val="-20"/>
        </w:rPr>
        <w:t> </w:t>
      </w:r>
      <w:r>
        <w:rPr/>
        <w:t>CHIP</w:t>
      </w:r>
      <w:r>
        <w:rPr>
          <w:w w:val="100"/>
        </w:rPr>
        <w:t> </w:t>
      </w:r>
      <w:r>
        <w:rPr/>
        <w:t>Managed Care Proposed Rule CMS-2390-P. The Autistic Self Advocacy Network is the leading</w:t>
      </w:r>
      <w:r>
        <w:rPr>
          <w:spacing w:val="-27"/>
        </w:rPr>
        <w:t> </w:t>
      </w:r>
      <w:r>
        <w:rPr/>
        <w:t>national</w:t>
      </w:r>
      <w:r>
        <w:rPr>
          <w:w w:val="100"/>
        </w:rPr>
        <w:t> </w:t>
      </w:r>
      <w:r>
        <w:rPr/>
        <w:t>advocacy organization run by and for autistic adults, working to increase the representation of</w:t>
      </w:r>
      <w:r>
        <w:rPr>
          <w:spacing w:val="-29"/>
        </w:rPr>
        <w:t> </w:t>
      </w:r>
      <w:r>
        <w:rPr/>
        <w:t>autistic</w:t>
      </w:r>
      <w:r>
        <w:rPr>
          <w:w w:val="100"/>
        </w:rPr>
        <w:t> </w:t>
      </w:r>
      <w:r>
        <w:rPr/>
        <w:t>people and other people with disabilities in policymaking and throughout</w:t>
      </w:r>
      <w:r>
        <w:rPr>
          <w:spacing w:val="-22"/>
        </w:rPr>
        <w:t> </w:t>
      </w:r>
      <w:r>
        <w:rPr/>
        <w:t>society.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6" w:lineRule="auto"/>
        <w:ind w:left="100" w:right="121" w:firstLine="0"/>
        <w:jc w:val="left"/>
      </w:pPr>
      <w:r>
        <w:rPr/>
        <w:t>ASAN applauds CMS for the inclusion of a number of key consumer protections within the</w:t>
      </w:r>
      <w:r>
        <w:rPr>
          <w:spacing w:val="-23"/>
        </w:rPr>
        <w:t> </w:t>
      </w:r>
      <w:r>
        <w:rPr/>
        <w:t>proposed</w:t>
      </w:r>
      <w:r>
        <w:rPr>
          <w:w w:val="100"/>
        </w:rPr>
        <w:t> </w:t>
      </w:r>
      <w:r>
        <w:rPr/>
        <w:t>regulation. Most notably, we were pleased to note the following provisions within the</w:t>
      </w:r>
      <w:r>
        <w:rPr>
          <w:spacing w:val="-31"/>
        </w:rPr>
        <w:t> </w:t>
      </w:r>
      <w:r>
        <w:rPr/>
        <w:t>rule: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12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modification of the definition of medical necessity to include </w:t>
      </w:r>
      <w:r>
        <w:rPr>
          <w:rFonts w:ascii="Times New Roman" w:hAnsi="Times New Roman" w:cs="Times New Roman" w:eastAsia="Times New Roman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z w:val="22"/>
          <w:szCs w:val="22"/>
        </w:rPr>
        <w:t>the opportunity for an</w:t>
      </w:r>
      <w:r>
        <w:rPr>
          <w:rFonts w:ascii="Times New Roman" w:hAnsi="Times New Roman" w:cs="Times New Roman" w:eastAsia="Times New Roman"/>
          <w:spacing w:val="-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enrollee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receiving long-term services and supports to have access to the benefits of community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living,</w:t>
      </w:r>
      <w:r>
        <w:rPr>
          <w:rFonts w:ascii="Times New Roman" w:hAnsi="Times New Roman" w:cs="Times New Roman" w:eastAsia="Times New Roman"/>
          <w:sz w:val="22"/>
          <w:szCs w:val="22"/>
        </w:rPr>
        <w:t>”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0" w:right="12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development of network adequacy standards for Long Term Services 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Supports;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37" w:after="0"/>
        <w:ind w:left="820" w:right="45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requirement that a </w:t>
      </w:r>
      <w:r>
        <w:rPr>
          <w:rFonts w:ascii="Times New Roman" w:hAnsi="Times New Roman" w:cs="Times New Roman" w:eastAsia="Times New Roman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z w:val="22"/>
          <w:szCs w:val="22"/>
        </w:rPr>
        <w:t>State must ensure the views of beneficiaries, providers, and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stakeholders are solicited and addressed during the design, implementation, and oversight of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State’s managed LTSS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program”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9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requirement that a state must develop and maintain a beneficiary support system that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includes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choice counseling, training for network providers, assistance for enrollees 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understanding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managed care and assistance for enrollees who use or desire to use LTSS, including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assistance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with complaints, concerns, grievance and appeals rights and review and oversight 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systemic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issues in Medicaid LTSS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programs.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22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requirement of a Medical Loss Ratio of no less than 85%, provided that it is implemented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such a way as not to disincentivize enhanced case management or the provision of goods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services by the MCO that enhance community integration of people with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disabilities.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15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Reinforcing the applicability of the Supreme Court</w:t>
      </w:r>
      <w:r>
        <w:rPr>
          <w:rFonts w:ascii="Times New Roman" w:hAnsi="Times New Roman" w:cs="Times New Roman" w:eastAsia="Times New Roman"/>
          <w:sz w:val="22"/>
          <w:szCs w:val="22"/>
        </w:rPr>
        <w:t>’s 1999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Olmstead v. L.C. </w:t>
      </w:r>
      <w:r>
        <w:rPr>
          <w:rFonts w:ascii="Times New Roman" w:hAnsi="Times New Roman" w:cs="Times New Roman" w:eastAsia="Times New Roman"/>
          <w:sz w:val="22"/>
          <w:szCs w:val="22"/>
        </w:rPr>
        <w:t>decision to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Managed Care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programs;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2" w:after="0"/>
        <w:ind w:left="820" w:right="44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requirement that states must include within its contracts, </w:t>
      </w:r>
      <w:r>
        <w:rPr>
          <w:rFonts w:ascii="Times New Roman" w:hAnsi="Times New Roman" w:cs="Times New Roman" w:eastAsia="Times New Roman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z w:val="22"/>
          <w:szCs w:val="22"/>
        </w:rPr>
        <w:t>as a part of its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measurement activities under this paragraph and in addition to other measures required of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MCOs, PIHPs, and PAHPs, measures that assess the quality of life of beneficiaries and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outcomes of the MCO, PIHP, or PAHP’s rebalancing and community integration activities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beneficiaries receiving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LTSS.</w:t>
      </w:r>
      <w:r>
        <w:rPr>
          <w:rFonts w:ascii="Times New Roman" w:hAnsi="Times New Roman" w:cs="Times New Roman" w:eastAsia="Times New Roman"/>
          <w:sz w:val="22"/>
          <w:szCs w:val="22"/>
        </w:rPr>
        <w:t>”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2" w:after="0"/>
        <w:ind w:left="820" w:right="67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requirement that,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if a state does not permit participants enrolled in MLTSS to</w:t>
      </w:r>
      <w:r>
        <w:rPr>
          <w:rFonts w:ascii="Times New Roman" w:hAnsi="Times New Roman" w:cs="Times New Roman" w:eastAsia="Times New Roman"/>
          <w:color w:val="212121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switch</w:t>
      </w:r>
      <w:r>
        <w:rPr>
          <w:rFonts w:ascii="Times New Roman" w:hAnsi="Times New Roman" w:cs="Times New Roman" w:eastAsia="Times New Roman"/>
          <w:color w:val="2121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managed care plans (or disenroll to Fee For Service) at any time, it must permit enrollees</w:t>
      </w:r>
      <w:r>
        <w:rPr>
          <w:rFonts w:ascii="Times New Roman" w:hAnsi="Times New Roman" w:cs="Times New Roman" w:eastAsia="Times New Roman"/>
          <w:color w:val="212121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color w:val="2121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disenroll and switch to another managed care plan or Fee for Serv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ice (FFS) “when</w:t>
      </w:r>
      <w:r>
        <w:rPr>
          <w:rFonts w:ascii="Times New Roman" w:hAnsi="Times New Roman" w:cs="Times New Roman" w:eastAsia="Times New Roman"/>
          <w:color w:val="212121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color w:val="2121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termination of a provider from their MLTSS network would result in a disruption in</w:t>
      </w:r>
      <w:r>
        <w:rPr>
          <w:rFonts w:ascii="Times New Roman" w:hAnsi="Times New Roman" w:cs="Times New Roman" w:eastAsia="Times New Roman"/>
          <w:color w:val="212121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color w:val="2121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residence or</w:t>
      </w:r>
      <w:r>
        <w:rPr>
          <w:rFonts w:ascii="Times New Roman" w:hAnsi="Times New Roman" w:cs="Times New Roman" w:eastAsia="Times New Roman"/>
          <w:color w:val="212121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employment;”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3" w:lineRule="auto" w:before="0" w:after="0"/>
        <w:ind w:left="820" w:right="80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The requirement that states </w:t>
      </w:r>
      <w:r>
        <w:rPr>
          <w:rFonts w:ascii="Times New Roman" w:hAnsi="Times New Roman" w:cs="Times New Roman" w:eastAsia="Times New Roman"/>
          <w:color w:val="21212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sz w:val="22"/>
          <w:szCs w:val="22"/>
        </w:rPr>
        <w:t>establish time and distance standards specifically for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MLTSS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</w:rPr>
        <w:t>”;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6" w:lineRule="auto" w:before="189"/>
        <w:ind w:left="100" w:right="121" w:firstLine="0"/>
        <w:jc w:val="left"/>
      </w:pPr>
      <w:r>
        <w:rPr/>
        <w:t>At the same time, ASAN</w:t>
      </w:r>
      <w:r>
        <w:rPr>
          <w:rFonts w:ascii="Times New Roman" w:hAnsi="Times New Roman" w:cs="Times New Roman" w:eastAsia="Times New Roman"/>
        </w:rPr>
        <w:t>’</w:t>
      </w:r>
      <w:r>
        <w:rPr/>
        <w:t>s research and stakeholder engagement on this topic compels us to</w:t>
      </w:r>
      <w:r>
        <w:rPr>
          <w:spacing w:val="-18"/>
        </w:rPr>
        <w:t> </w:t>
      </w:r>
      <w:r>
        <w:rPr/>
        <w:t>express</w:t>
      </w:r>
      <w:r>
        <w:rPr>
          <w:w w:val="100"/>
        </w:rPr>
        <w:t> </w:t>
      </w:r>
      <w:r>
        <w:rPr/>
        <w:t>concerns regarding other areas of the proposed rule that are inadequate to the needs of people</w:t>
      </w:r>
      <w:r>
        <w:rPr>
          <w:spacing w:val="-16"/>
        </w:rPr>
        <w:t> </w:t>
      </w:r>
      <w:r>
        <w:rPr/>
        <w:t>with</w:t>
      </w:r>
      <w:r>
        <w:rPr>
          <w:w w:val="100"/>
        </w:rPr>
        <w:t> </w:t>
      </w:r>
      <w:r>
        <w:rPr/>
        <w:t>disabilities receiving services under managed care frameworks. As such, ASAN wishes to articulate</w:t>
      </w:r>
      <w:r>
        <w:rPr>
          <w:spacing w:val="-30"/>
        </w:rPr>
        <w:t> </w:t>
      </w:r>
      <w:r>
        <w:rPr/>
        <w:t>the</w:t>
      </w:r>
      <w:r>
        <w:rPr>
          <w:w w:val="100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recommendations: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00" w:right="121" w:firstLine="0"/>
        <w:jc w:val="left"/>
      </w:pPr>
      <w:r>
        <w:rPr/>
        <w:t>Recommendations: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340"/>
        </w:sect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6" w:lineRule="auto" w:before="37" w:after="0"/>
        <w:ind w:left="460" w:right="13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We recommend that the stakeholder engagement group called for by the regulation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include groups run by people with disabilities across multiple disability</w:t>
      </w:r>
      <w:r>
        <w:rPr>
          <w:rFonts w:ascii="Times New Roman" w:hAnsi="Times New Roman" w:cs="Times New Roman" w:eastAsia="Times New Roman"/>
          <w:b/>
          <w:bCs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categories,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including (where present within the state and where said populations are included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the managed care framework) Centers for Independent Living, developmental</w:t>
      </w:r>
      <w:r>
        <w:rPr>
          <w:rFonts w:ascii="Times New Roman" w:hAnsi="Times New Roman" w:cs="Times New Roman" w:eastAsia="Times New Roman"/>
          <w:b/>
          <w:bCs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disability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self-advocacy groups, mental health consumer organizations and other relevant</w:t>
      </w:r>
      <w:r>
        <w:rPr>
          <w:rFonts w:ascii="Times New Roman" w:hAnsi="Times New Roman" w:cs="Times New Roman" w:eastAsia="Times New Roman"/>
          <w:b/>
          <w:bCs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stakeholder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organizations run by beneficiaries who utilize MLTSS. </w:t>
      </w:r>
      <w:r>
        <w:rPr>
          <w:rFonts w:ascii="Times New Roman" w:hAnsi="Times New Roman" w:cs="Times New Roman" w:eastAsia="Times New Roman"/>
          <w:sz w:val="22"/>
          <w:szCs w:val="22"/>
        </w:rPr>
        <w:t>To quote the National Council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Disability</w:t>
      </w:r>
      <w:r>
        <w:rPr>
          <w:rFonts w:ascii="Times New Roman" w:hAnsi="Times New Roman" w:cs="Times New Roman" w:eastAsia="Times New Roman"/>
          <w:sz w:val="22"/>
          <w:szCs w:val="22"/>
        </w:rPr>
        <w:t>’s </w:t>
      </w:r>
      <w:r>
        <w:rPr>
          <w:rFonts w:ascii="Times New Roman" w:hAnsi="Times New Roman" w:cs="Times New Roman" w:eastAsia="Times New Roman"/>
          <w:sz w:val="22"/>
          <w:szCs w:val="22"/>
        </w:rPr>
        <w:t>report on this issue, </w:t>
      </w:r>
      <w:r>
        <w:rPr>
          <w:rFonts w:ascii="Times New Roman" w:hAnsi="Times New Roman" w:cs="Times New Roman" w:eastAsia="Times New Roman"/>
          <w:sz w:val="22"/>
          <w:szCs w:val="22"/>
        </w:rPr>
        <w:t>““States must ensure that key disability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stakeholders—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people with disabilities, family members, support agency representatives, and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advocates</w:t>
      </w:r>
      <w:r>
        <w:rPr>
          <w:rFonts w:ascii="Times New Roman" w:hAnsi="Times New Roman" w:cs="Times New Roman" w:eastAsia="Times New Roman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fully engaged in designing, implementing, and monitoring the outcomes and effectiveness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Medicaid managed care services and service delivery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systems.</w:t>
      </w:r>
      <w:r>
        <w:rPr>
          <w:rFonts w:ascii="Times New Roman" w:hAnsi="Times New Roman" w:cs="Times New Roman" w:eastAsia="Times New Roman"/>
          <w:sz w:val="22"/>
          <w:szCs w:val="22"/>
        </w:rPr>
        <w:t>”</w:t>
      </w: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76" w:lineRule="auto" w:before="4" w:after="0"/>
        <w:ind w:left="460" w:right="204" w:hanging="360"/>
        <w:jc w:val="left"/>
        <w:rPr>
          <w:b w:val="0"/>
          <w:bCs w:val="0"/>
        </w:rPr>
      </w:pPr>
      <w:r>
        <w:rPr/>
        <w:t>We recommend that stakeholder engagement groups should also include</w:t>
      </w:r>
      <w:r>
        <w:rPr>
          <w:spacing w:val="-14"/>
        </w:rPr>
        <w:t> </w:t>
      </w:r>
      <w:r>
        <w:rPr/>
        <w:t>representation</w:t>
      </w:r>
      <w:r>
        <w:rPr>
          <w:w w:val="100"/>
        </w:rPr>
        <w:t> </w:t>
      </w:r>
      <w:r>
        <w:rPr/>
        <w:t>from the state Protection and Advocacy agency for Protection and Advocacy for</w:t>
      </w:r>
      <w:r>
        <w:rPr>
          <w:spacing w:val="-16"/>
        </w:rPr>
        <w:t> </w:t>
      </w:r>
      <w:r>
        <w:rPr/>
        <w:t>Persons</w:t>
      </w:r>
      <w:r>
        <w:rPr>
          <w:w w:val="100"/>
        </w:rPr>
        <w:t> </w:t>
      </w:r>
      <w:r>
        <w:rPr/>
        <w:t>with Developmental Disabilities (PADD) and Protection and Advocacy for Individuals</w:t>
      </w:r>
      <w:r>
        <w:rPr>
          <w:spacing w:val="-24"/>
        </w:rPr>
        <w:t> </w:t>
      </w:r>
      <w:r>
        <w:rPr/>
        <w:t>with</w:t>
      </w:r>
      <w:r>
        <w:rPr>
          <w:w w:val="100"/>
        </w:rPr>
        <w:t> </w:t>
      </w:r>
      <w:r>
        <w:rPr/>
        <w:t>Mental Illness.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6" w:lineRule="auto" w:before="0" w:after="0"/>
        <w:ind w:left="460" w:right="25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We recommend that the stakeholder engagement group be required to meet on a</w:t>
      </w:r>
      <w:r>
        <w:rPr>
          <w:rFonts w:ascii="Times New Roman"/>
          <w:b/>
          <w:spacing w:val="-17"/>
          <w:sz w:val="22"/>
        </w:rPr>
        <w:t> </w:t>
      </w:r>
      <w:r>
        <w:rPr>
          <w:rFonts w:ascii="Times New Roman"/>
          <w:b/>
          <w:sz w:val="22"/>
        </w:rPr>
        <w:t>monthly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basis and have access to data on plan quality indicators as it is provided to the state as</w:t>
      </w:r>
      <w:r>
        <w:rPr>
          <w:rFonts w:ascii="Times New Roman"/>
          <w:b/>
          <w:spacing w:val="-25"/>
          <w:sz w:val="22"/>
        </w:rPr>
        <w:t> </w:t>
      </w:r>
      <w:r>
        <w:rPr>
          <w:rFonts w:ascii="Times New Roman"/>
          <w:b/>
          <w:sz w:val="22"/>
        </w:rPr>
        <w:t>well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as information on grievance and appeals, planned modifications to the managed</w:t>
      </w:r>
      <w:r>
        <w:rPr>
          <w:rFonts w:ascii="Times New Roman"/>
          <w:b/>
          <w:spacing w:val="-16"/>
          <w:sz w:val="22"/>
        </w:rPr>
        <w:t> </w:t>
      </w:r>
      <w:r>
        <w:rPr>
          <w:rFonts w:ascii="Times New Roman"/>
          <w:b/>
          <w:sz w:val="22"/>
        </w:rPr>
        <w:t>care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structure and other relevant data in a timely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fashion.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6" w:lineRule="auto" w:before="0" w:after="0"/>
        <w:ind w:left="460" w:right="117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We were pleased to see the requirement that states establish time and distance standards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MLTSS programs.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We recommend that these standards be submitted for public comment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part of CMS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’ review process prior to the approval of a state’s m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anaged care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waiver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proposal or plan amendment. We furthermore recommend that the state be required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articulate distinct time and distance standards for network adequacy for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different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categories of LTSS (i.e: attendant care, respite care services, behavioral health,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supported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living, supported employment, etc.). Such requirements should specifically ensure</w:t>
      </w:r>
      <w:r>
        <w:rPr>
          <w:rFonts w:ascii="Times New Roman" w:hAnsi="Times New Roman" w:cs="Times New Roman" w:eastAsia="Times New Roman"/>
          <w:b/>
          <w:bCs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services delivered within the most integrated setting, consistent with the requirements of</w:t>
      </w:r>
      <w:r>
        <w:rPr>
          <w:rFonts w:ascii="Times New Roman" w:hAnsi="Times New Roman" w:cs="Times New Roman" w:eastAsia="Times New Roman"/>
          <w:b/>
          <w:bCs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new HCBS Settings rule, be available within a reasonable distance to all beneficiaries,</w:t>
      </w:r>
      <w:r>
        <w:rPr>
          <w:rFonts w:ascii="Times New Roman" w:hAnsi="Times New Roman" w:cs="Times New Roman" w:eastAsia="Times New Roman"/>
          <w:b/>
          <w:bCs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articulate a series of potential remedies (i.e: rate increases, provider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subsidies,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transportation subsidies, etc.) for failure or inability of an MCO to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comply.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6" w:lineRule="auto" w:before="0" w:after="0"/>
        <w:ind w:left="460" w:right="24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We were similarly pleased to see the requirement for a minimum Medical Loss Ratio. We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do,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however note, that many MLTSS beneficiaries will require enhanced case management and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benefit from various non-medical goods and services that may enhance their integration into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community. </w:t>
      </w:r>
      <w:r>
        <w:rPr>
          <w:rFonts w:ascii="Times New Roman"/>
          <w:b/>
          <w:sz w:val="22"/>
        </w:rPr>
        <w:t>We recommend that CMS indicate that enhanced case management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beneficiaries with higher levels of need will not count against an MCO for the purposes</w:t>
      </w:r>
      <w:r>
        <w:rPr>
          <w:rFonts w:ascii="Times New Roman"/>
          <w:b/>
          <w:spacing w:val="-2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meeting the MLR determination. Furthermore, we recommend that CMS further</w:t>
      </w:r>
      <w:r>
        <w:rPr>
          <w:rFonts w:ascii="Times New Roman"/>
          <w:b/>
          <w:spacing w:val="-19"/>
          <w:sz w:val="22"/>
        </w:rPr>
        <w:t> </w:t>
      </w:r>
      <w:r>
        <w:rPr>
          <w:rFonts w:ascii="Times New Roman"/>
          <w:b/>
          <w:sz w:val="22"/>
        </w:rPr>
        <w:t>clarify,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either through the regulation or through promptly issued sub-regulatory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guidance,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determining whether or not a traditionally non-medical good or service that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enhances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community integration will meet the MLR requirements under the new proposed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z w:val="22"/>
        </w:rPr>
        <w:t>medical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necessity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definition.</w:t>
      </w:r>
      <w:r>
        <w:rPr>
          <w:rFonts w:ascii="Times New Roman"/>
          <w:sz w:val="22"/>
        </w:rPr>
      </w: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76" w:lineRule="auto" w:before="0" w:after="0"/>
        <w:ind w:left="460" w:right="233" w:hanging="360"/>
        <w:jc w:val="left"/>
        <w:rPr>
          <w:b w:val="0"/>
          <w:bCs w:val="0"/>
        </w:rPr>
      </w:pPr>
      <w:r>
        <w:rPr/>
        <w:t>We recommend that quality measures must include both measures that can be assessed</w:t>
      </w:r>
      <w:r>
        <w:rPr>
          <w:spacing w:val="-16"/>
        </w:rPr>
        <w:t> </w:t>
      </w:r>
      <w:r>
        <w:rPr/>
        <w:t>via</w:t>
      </w:r>
      <w:r>
        <w:rPr>
          <w:w w:val="100"/>
        </w:rPr>
        <w:t> </w:t>
      </w:r>
      <w:r>
        <w:rPr/>
        <w:t>quantitative analysis of plan data, such as rebalancing measures that reflect shifts</w:t>
      </w:r>
      <w:r>
        <w:rPr>
          <w:spacing w:val="-10"/>
        </w:rPr>
        <w:t> </w:t>
      </w:r>
      <w:r>
        <w:rPr/>
        <w:t>away</w:t>
      </w:r>
      <w:r>
        <w:rPr>
          <w:w w:val="100"/>
        </w:rPr>
        <w:t> </w:t>
      </w:r>
      <w:r>
        <w:rPr/>
        <w:t>from skilled nursing facility utilization or from sheltered workshop towards</w:t>
      </w:r>
      <w:r>
        <w:rPr>
          <w:spacing w:val="-20"/>
        </w:rPr>
        <w:t> </w:t>
      </w:r>
      <w:r>
        <w:rPr/>
        <w:t>competitive,</w:t>
      </w:r>
      <w:r>
        <w:rPr>
          <w:w w:val="100"/>
        </w:rPr>
        <w:t> </w:t>
      </w:r>
      <w:r>
        <w:rPr/>
        <w:t>integrated employment outcomes, and qualitative analysis of beneficiary experience</w:t>
      </w:r>
      <w:r>
        <w:rPr>
          <w:spacing w:val="-15"/>
        </w:rPr>
        <w:t> </w:t>
      </w:r>
      <w:r>
        <w:rPr/>
        <w:t>with</w:t>
      </w:r>
      <w:r>
        <w:rPr>
          <w:b w:val="0"/>
        </w:rPr>
      </w:r>
    </w:p>
    <w:p>
      <w:pPr>
        <w:spacing w:after="0" w:line="276" w:lineRule="auto"/>
        <w:jc w:val="left"/>
        <w:sectPr>
          <w:pgSz w:w="12240" w:h="15840"/>
          <w:pgMar w:top="1400" w:bottom="280" w:left="1700" w:right="1340"/>
        </w:sectPr>
      </w:pPr>
    </w:p>
    <w:p>
      <w:pPr>
        <w:spacing w:line="276" w:lineRule="auto" w:before="58"/>
        <w:ind w:left="820" w:right="11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LTSS under managed care, such as survey instruments measuring levels of choice,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z w:val="22"/>
        </w:rPr>
        <w:t>control,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autonomy, loneliness or other beneficiary-reported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z w:val="22"/>
        </w:rPr>
        <w:t>information.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3" w:lineRule="auto" w:before="0" w:after="0"/>
        <w:ind w:left="820" w:right="66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We recommend that quality data should be made publicly available, disaggregated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z w:val="22"/>
        </w:rPr>
        <w:t>by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population, region and MCO or other managed care plan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provider.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6" w:lineRule="auto" w:before="0" w:after="0"/>
        <w:ind w:left="820" w:right="22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ASAN is pleased to note the requirement that states include re-balancing measures within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quality management systems. However, we note that re-balancing incorporates not only the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shift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away from Intermediate Care Facilities, Skilled Nurse Facilities and Institutions for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Mental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Diseases towards HCBS, but also shifts between different types of HCBS.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strongly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recommend that required re-balancing measures include not only shifts towards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HCBS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from ICFs/SNFs/IMDs but also shifts towards less restrictive forms of HCBS from</w:t>
      </w:r>
      <w:r>
        <w:rPr>
          <w:rFonts w:ascii="Times New Roman"/>
          <w:b/>
          <w:spacing w:val="-19"/>
          <w:sz w:val="22"/>
        </w:rPr>
        <w:t> </w:t>
      </w:r>
      <w:r>
        <w:rPr>
          <w:rFonts w:ascii="Times New Roman"/>
          <w:b/>
          <w:sz w:val="22"/>
        </w:rPr>
        <w:t>more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restrictive HCBS, consistent with the CMS HCBS Settings rule and the Olmstead</w:t>
      </w:r>
      <w:r>
        <w:rPr>
          <w:rFonts w:ascii="Times New Roman"/>
          <w:b/>
          <w:spacing w:val="-19"/>
          <w:sz w:val="22"/>
        </w:rPr>
        <w:t> </w:t>
      </w:r>
      <w:r>
        <w:rPr>
          <w:rFonts w:ascii="Times New Roman"/>
          <w:b/>
          <w:sz w:val="22"/>
        </w:rPr>
        <w:t>decision.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6" w:lineRule="auto" w:before="0" w:after="0"/>
        <w:ind w:left="820" w:right="11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 rule requires managed care companies to use performance measures, monitor the quality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 long-term services and supports, and states that quality measures must include an effort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“rebalance” to</w:t>
      </w:r>
      <w:r>
        <w:rPr>
          <w:rFonts w:ascii="Times New Roman" w:hAnsi="Times New Roman" w:cs="Times New Roman" w:eastAsia="Times New Roman"/>
          <w:sz w:val="22"/>
          <w:szCs w:val="22"/>
        </w:rPr>
        <w:t>ward community integration. Ratings are based on indicators that are used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medical care and do not outline specifics for long-term services and supports. Long-term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supports are very different from medical care supports. Many HMOs or MCOs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lack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experience serving people with more complex needs and those who self-direct their services.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rule does not specify any separate ranking system specific to long term services and supports.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recommend that the rule include a LTSS ranking system, incorporating requirements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nationally established data sets such as the National Core Indicators</w:t>
      </w:r>
      <w:r>
        <w:rPr>
          <w:rFonts w:ascii="Times New Roman" w:hAnsi="Times New Roman" w:cs="Times New Roman" w:eastAsia="Times New Roman"/>
          <w:b/>
          <w:bCs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6" w:lineRule="auto" w:before="0" w:after="0"/>
        <w:ind w:left="820" w:right="11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One of the most concerning trends ASAN has discovered in our review of state managed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care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frameworks has been states which shift home and community based services for a population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managed care while maintaining the corresponding institutional benefit in fee for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service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Medicaid. Such an approach creates deeply perverse incentives for MCOs, which may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financially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benefit by shifting high-cost individuals out of their risk pool and into institutional settings.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recommend that states planning to enroll Medicaid recipients in managed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z w:val="22"/>
        </w:rPr>
        <w:t>long-term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services and supports plans should be required by the Centers for Medicare and</w:t>
      </w:r>
      <w:r>
        <w:rPr>
          <w:rFonts w:ascii="Times New Roman"/>
          <w:b/>
          <w:spacing w:val="-12"/>
          <w:sz w:val="22"/>
        </w:rPr>
        <w:t> </w:t>
      </w:r>
      <w:r>
        <w:rPr>
          <w:rFonts w:ascii="Times New Roman"/>
          <w:b/>
          <w:sz w:val="22"/>
        </w:rPr>
        <w:t>Medicaid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Services (CMS) to cover both institutional and home and community-based services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w w:val="100"/>
          <w:sz w:val="22"/>
        </w:rPr>
        <w:t> </w:t>
      </w:r>
      <w:r>
        <w:rPr>
          <w:rFonts w:ascii="Times New Roman"/>
          <w:b/>
          <w:sz w:val="22"/>
        </w:rPr>
        <w:t>supports under their respective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plans.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6" w:lineRule="auto" w:before="0" w:after="0"/>
        <w:ind w:left="820" w:right="9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 consistent source of concern regarding managed care transitions that has emerged repeatedly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ASAN</w:t>
      </w:r>
      <w:r>
        <w:rPr>
          <w:rFonts w:ascii="Times New Roman" w:hAnsi="Times New Roman" w:cs="Times New Roman" w:eastAsia="Times New Roman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z w:val="22"/>
          <w:szCs w:val="22"/>
        </w:rPr>
        <w:t>s stakeholder engagement is late and bureaucratic payment structures placing the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solvency of small LTSS providers at risk.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We recommend that CMS require managed</w:t>
      </w:r>
      <w:r>
        <w:rPr>
          <w:rFonts w:ascii="Times New Roman" w:hAnsi="Times New Roman" w:cs="Times New Roman" w:eastAsia="Times New Roman"/>
          <w:b/>
          <w:bCs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contracts to include minimum interest payments owed for payments transmitted later</w:t>
      </w:r>
      <w:r>
        <w:rPr>
          <w:rFonts w:ascii="Times New Roman" w:hAnsi="Times New Roman" w:cs="Times New Roman" w:eastAsia="Times New Roman"/>
          <w:b/>
          <w:bCs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60 days after the submission of a properly filed invoice to an MCO. We also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recommend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that CMS require that states establish a unified, common billing infrastructure and</w:t>
      </w:r>
      <w:r>
        <w:rPr>
          <w:rFonts w:ascii="Times New Roman" w:hAnsi="Times New Roman" w:cs="Times New Roman" w:eastAsia="Times New Roman"/>
          <w:b/>
          <w:bCs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format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for MCOs so as to minimize the administrative burden on small LTSS providers and</w:t>
      </w:r>
      <w:r>
        <w:rPr>
          <w:rFonts w:ascii="Times New Roman" w:hAnsi="Times New Roman" w:cs="Times New Roman" w:eastAsia="Times New Roman"/>
          <w:b/>
          <w:bCs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ensure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that the transition to managed care does not adversely impact provider network</w:t>
      </w:r>
      <w:r>
        <w:rPr>
          <w:rFonts w:ascii="Times New Roman" w:hAnsi="Times New Roman" w:cs="Times New Roman" w:eastAsia="Times New Roman"/>
          <w:b/>
          <w:bCs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adequacy.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76" w:lineRule="auto" w:before="195"/>
        <w:ind w:left="100" w:right="110" w:firstLine="0"/>
        <w:jc w:val="left"/>
      </w:pPr>
      <w:r>
        <w:rPr/>
        <w:t>We stand ready to assist CMS further in its deliberations at your request. If you would like to</w:t>
      </w:r>
      <w:r>
        <w:rPr>
          <w:spacing w:val="-24"/>
        </w:rPr>
        <w:t> </w:t>
      </w:r>
      <w:r>
        <w:rPr/>
        <w:t>pursue</w:t>
      </w:r>
      <w:r>
        <w:rPr>
          <w:w w:val="100"/>
        </w:rPr>
        <w:t> </w:t>
      </w:r>
      <w:r>
        <w:rPr/>
        <w:t>further communications on this topic, please contact ASAN</w:t>
      </w:r>
      <w:r>
        <w:rPr>
          <w:rFonts w:ascii="Times New Roman" w:hAnsi="Times New Roman" w:cs="Times New Roman" w:eastAsia="Times New Roman"/>
        </w:rPr>
        <w:t>’</w:t>
      </w:r>
      <w:r>
        <w:rPr/>
        <w:t>s </w:t>
      </w:r>
      <w:r>
        <w:rPr>
          <w:color w:val="212121"/>
        </w:rPr>
        <w:t>Director of Public Policy, Samantha</w:t>
      </w:r>
      <w:r>
        <w:rPr>
          <w:color w:val="212121"/>
          <w:spacing w:val="-30"/>
        </w:rPr>
        <w:t> </w:t>
      </w:r>
      <w:r>
        <w:rPr>
          <w:color w:val="212121"/>
        </w:rPr>
        <w:t>Crane,</w:t>
      </w:r>
      <w:r>
        <w:rPr>
          <w:color w:val="212121"/>
          <w:w w:val="100"/>
        </w:rPr>
        <w:t> </w:t>
      </w:r>
      <w:r>
        <w:rPr>
          <w:color w:val="212121"/>
        </w:rPr>
        <w:t>at</w:t>
      </w:r>
      <w:r>
        <w:rPr>
          <w:color w:val="212121"/>
          <w:spacing w:val="-9"/>
        </w:rPr>
        <w:t> </w:t>
      </w:r>
      <w:r>
        <w:rPr>
          <w:color w:val="0000FF"/>
          <w:spacing w:val="-9"/>
        </w:rPr>
      </w:r>
      <w:hyperlink r:id="rId5">
        <w:r>
          <w:rPr>
            <w:color w:val="0000FF"/>
            <w:u w:val="single" w:color="0000FF"/>
          </w:rPr>
          <w:t>scrane@autisticadvocacy.org</w:t>
        </w:r>
        <w:r>
          <w:rPr>
            <w:color w:val="0000FF"/>
          </w:rPr>
        </w:r>
        <w:r>
          <w:rPr>
            <w:color w:val="212121"/>
          </w:rPr>
          <w:t>.</w:t>
        </w:r>
        <w:r>
          <w:rPr/>
        </w:r>
      </w:hyperlink>
    </w:p>
    <w:sectPr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60" w:hanging="36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crane@autisticadvocacy.or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aneeman</dc:creator>
  <dcterms:created xsi:type="dcterms:W3CDTF">2015-07-28T11:57:52Z</dcterms:created>
  <dcterms:modified xsi:type="dcterms:W3CDTF">2015-07-28T11:57:52Z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2015-07-28T00:00:00Z</vt:filetime>
  </property>
</Properties>
</file>